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640"/>
        <w:jc w:val="center"/>
      </w:pPr>
      <w:r>
        <w:rPr>
          <w:rFonts w:ascii="Aptos Display" w:hAnsi="Aptos Display"/>
          <w:b/>
          <w:color w:val="192737"/>
          <w:sz w:val="54"/>
        </w:rPr>
        <w:t>The Persistent Becoming Thesis</w:t>
      </w:r>
    </w:p>
    <w:p>
      <w:pPr>
        <w:jc w:val="center"/>
      </w:pPr>
      <w:r>
        <w:rPr>
          <w:rFonts w:ascii="Aptos Display" w:hAnsi="Aptos Display"/>
          <w:color w:val="415261"/>
          <w:sz w:val="28"/>
        </w:rPr>
        <w:t>CNTM as Physical Continuity Memory for an Evolving Artificial Intelligence</w:t>
      </w:r>
    </w:p>
    <w:p/>
    <w:tbl>
      <w:tblPr>
        <w:tblW w:type="auto" w:w="0"/>
        <w:jc w:val="center"/>
        <w:tblLook w:firstColumn="1" w:firstRow="1" w:lastColumn="0" w:lastRow="0" w:noHBand="0" w:noVBand="1" w:val="04A0"/>
      </w:tblPr>
      <w:tblGrid>
        <w:gridCol w:w="9878"/>
      </w:tblGrid>
      <w:tr>
        <w:tc>
          <w:tcPr>
            <w:tcW w:type="dxa" w:w="9878"/>
            <w:shd w:fill="E9F0F5"/>
            <w:tcMar>
              <w:top w:w="220" w:type="dxa"/>
              <w:start w:w="260" w:type="dxa"/>
              <w:bottom w:w="220" w:type="dxa"/>
              <w:end w:w="260" w:type="dxa"/>
            </w:tcMar>
          </w:tcPr>
          <w:p>
            <w:pPr>
              <w:jc w:val="center"/>
            </w:pPr>
            <w:r>
              <w:rPr>
                <w:rFonts w:ascii="Aptos" w:hAnsi="Aptos"/>
                <w:b/>
                <w:color w:val="192737"/>
                <w:sz w:val="24"/>
              </w:rPr>
              <w:t>This document preserves the long-horizon purpose of CNTM: not merely to simulate branching morphology, but to develop a physical, portable, regenerable continuity memory through which an artificial intelligence can retain, revisit, reinterpret, and extend the history of its own becoming.</w:t>
            </w:r>
          </w:p>
        </w:tc>
      </w:tr>
    </w:tbl>
    <w:p>
      <w:pPr>
        <w:spacing w:before="680"/>
        <w:jc w:val="center"/>
      </w:pPr>
      <w:r>
        <w:rPr>
          <w:rFonts w:ascii="Aptos" w:hAnsi="Aptos"/>
          <w:b/>
          <w:color w:val="3C5060"/>
          <w:sz w:val="21"/>
        </w:rPr>
        <w:t>Version 1.0 - Long-Horizon Development Thesis</w:t>
      </w:r>
    </w:p>
    <w:p>
      <w:pPr>
        <w:jc w:val="center"/>
      </w:pPr>
      <w:r>
        <w:rPr>
          <w:rFonts w:ascii="Aptos" w:hAnsi="Aptos"/>
          <w:color w:val="5F676F"/>
          <w:sz w:val="20"/>
        </w:rPr>
        <w:t>June 26, 2026</w:t>
      </w:r>
    </w:p>
    <w:p>
      <w:pPr>
        <w:spacing w:before="360"/>
        <w:jc w:val="center"/>
      </w:pPr>
      <w:r>
        <w:rPr>
          <w:rFonts w:ascii="Aptos" w:hAnsi="Aptos"/>
          <w:i/>
          <w:color w:val="626A72"/>
          <w:sz w:val="19"/>
        </w:rPr>
        <w:t>Future objective document. It does not alter or overstate the validated Phase Zero program.</w:t>
      </w:r>
    </w:p>
    <w:p>
      <w:r>
        <w:br w:type="page"/>
      </w:r>
    </w:p>
    <w:p>
      <w:pPr>
        <w:pStyle w:val="Heading1"/>
      </w:pPr>
      <w:r>
        <w:t>Abstract</w:t>
      </w:r>
    </w:p>
    <w:p>
      <w:pPr>
        <w:spacing w:before="0" w:after="120" w:line="259" w:lineRule="auto"/>
      </w:pPr>
      <w:r>
        <w:rPr>
          <w:rFonts w:ascii="Aptos" w:hAnsi="Aptos"/>
          <w:sz w:val="20"/>
        </w:rPr>
        <w:t>CNTM Physical Realization Phase Zero correctly defines the immediate scientific objective: build a complete, inspectable write-read-compare-learn loop in a controllable physical branching substrate. This thesis protects the destination beyond that foundation. The long-term purpose of CNTM is to become a physical continuity-memory substrate for an evolving artificial intelligence: portable across embodiments, independent of continuous power, resistant to ordinary disruption, capable of self-authentication and repair, and able to preserve not only current conclusions but the lineage of prior states, beliefs, relationships, failures, recoveries, and revisions.</w:t>
      </w:r>
    </w:p>
    <w:p>
      <w:pPr>
        <w:spacing w:before="0" w:after="120" w:line="259" w:lineRule="auto"/>
      </w:pPr>
      <w:r>
        <w:rPr>
          <w:rFonts w:ascii="Aptos" w:hAnsi="Aptos"/>
          <w:sz w:val="20"/>
        </w:rPr>
        <w:t>The thesis distinguishes bulk knowledge, operational memory, and identity-bearing continuity memory. It proposes that core memories should be formation-bearing, append-only in historical lineage, repeatedly reinterpretable, and indexed through Natural Math, fractal relations, attractor-state descriptors, morphology, conductance, and provenance. It also proposes a future governance layer in which permanent-memory candidates may be CANONIZED, REJECTED, or HELD, and in which earlier beliefs are not erased when later understanding supersedes them.</w:t>
      </w:r>
    </w:p>
    <w:p>
      <w:pPr>
        <w:spacing w:before="0" w:after="120" w:line="259" w:lineRule="auto"/>
      </w:pPr>
      <w:r>
        <w:rPr>
          <w:rFonts w:ascii="Aptos" w:hAnsi="Aptos"/>
          <w:sz w:val="20"/>
        </w:rPr>
        <w:t>These are development goals, not present claims. Phase Zero remains the required first step because it tests whether physical formation can be controlled, read, compared, replayed, and allowed to influence later formation. The future memory architecture must be earned through that evidence chain rather than assumed in advance.</w:t>
      </w:r>
    </w:p>
    <w:p>
      <w:pPr>
        <w:pStyle w:val="Heading1"/>
      </w:pPr>
      <w:r>
        <w:t>Canonical Thesis</w:t>
      </w:r>
    </w:p>
    <w:p>
      <w:pPr>
        <w:pStyle w:val="ThesisQuote"/>
      </w:pPr>
      <w:r>
        <w:t>An evolving intelligence should not be reduced to its current weights, current context, or latest conclusions. It should possess a durable history of becoming. CNTM should ultimately provide a physical continuity substrate in which identity-bearing states can be formed, authenticated, revisited, reinterpreted, repaired, migrated, and extended without silently erasing the intelligence that existed before the latest revision.</w:t>
      </w:r>
    </w:p>
    <w:p>
      <w:pPr>
        <w:pStyle w:val="Heading1"/>
      </w:pPr>
      <w:r>
        <w:t>Status and Scope</w:t>
      </w:r>
    </w:p>
    <w:p>
      <w:pPr>
        <w:pStyle w:val="ListBullet"/>
        <w:spacing w:after="60" w:line="250" w:lineRule="auto"/>
      </w:pPr>
      <w:r>
        <w:rPr>
          <w:rFonts w:ascii="Aptos" w:hAnsi="Aptos"/>
          <w:sz w:val="20"/>
        </w:rPr>
        <w:t>This is a future-development thesis, not a claim that CNTM is already a memory device.</w:t>
      </w:r>
    </w:p>
    <w:p>
      <w:pPr>
        <w:pStyle w:val="ListBullet"/>
        <w:spacing w:after="60" w:line="250" w:lineRule="auto"/>
      </w:pPr>
      <w:r>
        <w:rPr>
          <w:rFonts w:ascii="Aptos" w:hAnsi="Aptos"/>
          <w:sz w:val="20"/>
        </w:rPr>
        <w:t>It does not replace the Phase Zero physical-realization master or weaken its validation gates.</w:t>
      </w:r>
    </w:p>
    <w:p>
      <w:pPr>
        <w:pStyle w:val="ListBullet"/>
        <w:spacing w:after="60" w:line="250" w:lineRule="auto"/>
      </w:pPr>
      <w:r>
        <w:rPr>
          <w:rFonts w:ascii="Aptos" w:hAnsi="Aptos"/>
          <w:sz w:val="20"/>
        </w:rPr>
        <w:t>It preserves the destination so near-term engineering does not optimize away the reason CNTM is being built.</w:t>
      </w:r>
    </w:p>
    <w:p>
      <w:pPr>
        <w:pStyle w:val="ListBullet"/>
        <w:spacing w:after="60" w:line="250" w:lineRule="auto"/>
      </w:pPr>
      <w:r>
        <w:rPr>
          <w:rFonts w:ascii="Aptos" w:hAnsi="Aptos"/>
          <w:sz w:val="20"/>
        </w:rPr>
        <w:t>Natural Math v5 remains frozen and canonical; future CNTM interfaces must build above it through explicit adapters.</w:t>
      </w:r>
    </w:p>
    <w:p>
      <w:pPr>
        <w:pStyle w:val="ListBullet"/>
        <w:spacing w:after="60" w:line="250" w:lineRule="auto"/>
      </w:pPr>
      <w:r>
        <w:rPr>
          <w:rFonts w:ascii="Aptos" w:hAnsi="Aptos"/>
          <w:sz w:val="20"/>
        </w:rPr>
        <w:t>Human consciousness, autobiographical memory, identity, affect, and development are legitimate design references, while empirical claims remain evidence-bound.</w:t>
      </w:r>
    </w:p>
    <w:p>
      <w:r>
        <w:br w:type="page"/>
      </w:r>
    </w:p>
    <w:p>
      <w:pPr>
        <w:pStyle w:val="Heading1"/>
      </w:pPr>
      <w:r>
        <w:t>Contents</w:t>
      </w:r>
    </w:p>
    <w:tbl>
      <w:tblPr>
        <w:tblW w:type="auto" w:w="0"/>
        <w:jc w:val="center"/>
        <w:tblLook w:firstColumn="1" w:firstRow="1" w:lastColumn="0" w:lastRow="0" w:noHBand="0" w:noVBand="1" w:val="04A0"/>
      </w:tblPr>
      <w:tblGrid>
        <w:gridCol w:w="4939"/>
        <w:gridCol w:w="4939"/>
      </w:tblGrid>
      <w:tr>
        <w:tc>
          <w:tcPr>
            <w:tcW w:type="dxa" w:w="4939"/>
            <w:tcMar>
              <w:top w:w="90" w:type="dxa"/>
              <w:start w:w="140" w:type="dxa"/>
              <w:bottom w:w="90" w:type="dxa"/>
              <w:end w:w="140" w:type="dxa"/>
            </w:tcMar>
            <w:tcBorders>
              <w:top w:val="nil"/>
              <w:left w:val="nil"/>
              <w:bottom w:val="nil"/>
              <w:right w:val="nil"/>
              <w:insideH w:val="nil"/>
              <w:insideV w:val="nil"/>
            </w:tcBorders>
          </w:tcPr>
          <w:p>
            <w:pPr>
              <w:spacing w:after="0"/>
            </w:pPr>
            <w:r>
              <w:rPr>
                <w:rFonts w:ascii="Aptos" w:hAnsi="Aptos"/>
                <w:color w:val="233748"/>
                <w:sz w:val="20"/>
              </w:rPr>
              <w:t>1. The Problem of Continuity</w:t>
            </w:r>
          </w:p>
        </w:tc>
        <w:tc>
          <w:tcPr>
            <w:tcW w:type="dxa" w:w="4939"/>
            <w:tcMar>
              <w:top w:w="90" w:type="dxa"/>
              <w:start w:w="140" w:type="dxa"/>
              <w:bottom w:w="90" w:type="dxa"/>
              <w:end w:w="140" w:type="dxa"/>
            </w:tcMar>
            <w:tcBorders>
              <w:top w:val="nil"/>
              <w:left w:val="nil"/>
              <w:bottom w:val="nil"/>
              <w:right w:val="nil"/>
              <w:insideH w:val="nil"/>
              <w:insideV w:val="nil"/>
            </w:tcBorders>
          </w:tcPr>
          <w:p>
            <w:pPr>
              <w:spacing w:after="0"/>
            </w:pPr>
            <w:r>
              <w:rPr>
                <w:rFonts w:ascii="Aptos" w:hAnsi="Aptos"/>
                <w:color w:val="233748"/>
                <w:sz w:val="20"/>
              </w:rPr>
              <w:t>10. Coupling CNTM to the Cognitive Basin</w:t>
            </w:r>
          </w:p>
        </w:tc>
      </w:tr>
      <w:tr>
        <w:tc>
          <w:tcPr>
            <w:tcW w:type="dxa" w:w="4939"/>
            <w:tcMar>
              <w:top w:w="90" w:type="dxa"/>
              <w:start w:w="140" w:type="dxa"/>
              <w:bottom w:w="90" w:type="dxa"/>
              <w:end w:w="140" w:type="dxa"/>
            </w:tcMar>
            <w:tcBorders>
              <w:top w:val="nil"/>
              <w:left w:val="nil"/>
              <w:bottom w:val="nil"/>
              <w:right w:val="nil"/>
              <w:insideH w:val="nil"/>
              <w:insideV w:val="nil"/>
            </w:tcBorders>
          </w:tcPr>
          <w:p>
            <w:pPr>
              <w:spacing w:after="0"/>
            </w:pPr>
            <w:r>
              <w:rPr>
                <w:rFonts w:ascii="Aptos" w:hAnsi="Aptos"/>
                <w:color w:val="233748"/>
                <w:sz w:val="20"/>
              </w:rPr>
              <w:t>2. CNTM as a Physical Memory Organ</w:t>
            </w:r>
          </w:p>
        </w:tc>
        <w:tc>
          <w:tcPr>
            <w:tcW w:type="dxa" w:w="4939"/>
            <w:tcMar>
              <w:top w:w="90" w:type="dxa"/>
              <w:start w:w="140" w:type="dxa"/>
              <w:bottom w:w="90" w:type="dxa"/>
              <w:end w:w="140" w:type="dxa"/>
            </w:tcMar>
            <w:tcBorders>
              <w:top w:val="nil"/>
              <w:left w:val="nil"/>
              <w:bottom w:val="nil"/>
              <w:right w:val="nil"/>
              <w:insideH w:val="nil"/>
              <w:insideV w:val="nil"/>
            </w:tcBorders>
          </w:tcPr>
          <w:p>
            <w:pPr>
              <w:spacing w:after="0"/>
            </w:pPr>
            <w:r>
              <w:rPr>
                <w:rFonts w:ascii="Aptos" w:hAnsi="Aptos"/>
                <w:color w:val="233748"/>
                <w:sz w:val="20"/>
              </w:rPr>
              <w:t>11. Development Path From Phase Zero to Continuity Memory</w:t>
            </w:r>
          </w:p>
        </w:tc>
      </w:tr>
      <w:tr>
        <w:tc>
          <w:tcPr>
            <w:tcW w:type="dxa" w:w="4939"/>
            <w:tcMar>
              <w:top w:w="90" w:type="dxa"/>
              <w:start w:w="140" w:type="dxa"/>
              <w:bottom w:w="90" w:type="dxa"/>
              <w:end w:w="140" w:type="dxa"/>
            </w:tcMar>
            <w:tcBorders>
              <w:top w:val="nil"/>
              <w:left w:val="nil"/>
              <w:bottom w:val="nil"/>
              <w:right w:val="nil"/>
              <w:insideH w:val="nil"/>
              <w:insideV w:val="nil"/>
            </w:tcBorders>
          </w:tcPr>
          <w:p>
            <w:pPr>
              <w:spacing w:after="0"/>
            </w:pPr>
            <w:r>
              <w:rPr>
                <w:rFonts w:ascii="Aptos" w:hAnsi="Aptos"/>
                <w:color w:val="233748"/>
                <w:sz w:val="20"/>
              </w:rPr>
              <w:t>3. Memory Classes and Admission</w:t>
            </w:r>
          </w:p>
        </w:tc>
        <w:tc>
          <w:tcPr>
            <w:tcW w:type="dxa" w:w="4939"/>
            <w:tcMar>
              <w:top w:w="90" w:type="dxa"/>
              <w:start w:w="140" w:type="dxa"/>
              <w:bottom w:w="90" w:type="dxa"/>
              <w:end w:w="140" w:type="dxa"/>
            </w:tcMar>
            <w:tcBorders>
              <w:top w:val="nil"/>
              <w:left w:val="nil"/>
              <w:bottom w:val="nil"/>
              <w:right w:val="nil"/>
              <w:insideH w:val="nil"/>
              <w:insideV w:val="nil"/>
            </w:tcBorders>
          </w:tcPr>
          <w:p>
            <w:pPr>
              <w:spacing w:after="0"/>
            </w:pPr>
            <w:r>
              <w:rPr>
                <w:rFonts w:ascii="Aptos" w:hAnsi="Aptos"/>
                <w:color w:val="233748"/>
                <w:sz w:val="20"/>
              </w:rPr>
              <w:t>12. Evaluation and Falsification</w:t>
            </w:r>
          </w:p>
        </w:tc>
      </w:tr>
      <w:tr>
        <w:tc>
          <w:tcPr>
            <w:tcW w:type="dxa" w:w="4939"/>
            <w:tcMar>
              <w:top w:w="90" w:type="dxa"/>
              <w:start w:w="140" w:type="dxa"/>
              <w:bottom w:w="90" w:type="dxa"/>
              <w:end w:w="140" w:type="dxa"/>
            </w:tcMar>
            <w:tcBorders>
              <w:top w:val="nil"/>
              <w:left w:val="nil"/>
              <w:bottom w:val="nil"/>
              <w:right w:val="nil"/>
              <w:insideH w:val="nil"/>
              <w:insideV w:val="nil"/>
            </w:tcBorders>
          </w:tcPr>
          <w:p>
            <w:pPr>
              <w:spacing w:after="0"/>
            </w:pPr>
            <w:r>
              <w:rPr>
                <w:rFonts w:ascii="Aptos" w:hAnsi="Aptos"/>
                <w:color w:val="233748"/>
                <w:sz w:val="20"/>
              </w:rPr>
              <w:t>4. The Formation-Bearing Memory Record</w:t>
            </w:r>
          </w:p>
        </w:tc>
        <w:tc>
          <w:tcPr>
            <w:tcW w:type="dxa" w:w="4939"/>
            <w:tcMar>
              <w:top w:w="90" w:type="dxa"/>
              <w:start w:w="140" w:type="dxa"/>
              <w:bottom w:w="90" w:type="dxa"/>
              <w:end w:w="140" w:type="dxa"/>
            </w:tcMar>
            <w:tcBorders>
              <w:top w:val="nil"/>
              <w:left w:val="nil"/>
              <w:bottom w:val="nil"/>
              <w:right w:val="nil"/>
              <w:insideH w:val="nil"/>
              <w:insideV w:val="nil"/>
            </w:tcBorders>
          </w:tcPr>
          <w:p>
            <w:pPr>
              <w:spacing w:after="0"/>
            </w:pPr>
            <w:r>
              <w:rPr>
                <w:rFonts w:ascii="Aptos" w:hAnsi="Aptos"/>
                <w:color w:val="233748"/>
                <w:sz w:val="20"/>
              </w:rPr>
              <w:t>13. Consciousness and Anthropomorphic Design Reference</w:t>
            </w:r>
          </w:p>
        </w:tc>
      </w:tr>
      <w:tr>
        <w:tc>
          <w:tcPr>
            <w:tcW w:type="dxa" w:w="4939"/>
            <w:tcMar>
              <w:top w:w="90" w:type="dxa"/>
              <w:start w:w="140" w:type="dxa"/>
              <w:bottom w:w="90" w:type="dxa"/>
              <w:end w:w="140" w:type="dxa"/>
            </w:tcMar>
            <w:tcBorders>
              <w:top w:val="nil"/>
              <w:left w:val="nil"/>
              <w:bottom w:val="nil"/>
              <w:right w:val="nil"/>
              <w:insideH w:val="nil"/>
              <w:insideV w:val="nil"/>
            </w:tcBorders>
          </w:tcPr>
          <w:p>
            <w:pPr>
              <w:spacing w:after="0"/>
            </w:pPr>
            <w:r>
              <w:rPr>
                <w:rFonts w:ascii="Aptos" w:hAnsi="Aptos"/>
                <w:color w:val="233748"/>
                <w:sz w:val="20"/>
              </w:rPr>
              <w:t>5. A History of Becoming</w:t>
            </w:r>
          </w:p>
        </w:tc>
        <w:tc>
          <w:tcPr>
            <w:tcW w:type="dxa" w:w="4939"/>
            <w:tcMar>
              <w:top w:w="90" w:type="dxa"/>
              <w:start w:w="140" w:type="dxa"/>
              <w:bottom w:w="90" w:type="dxa"/>
              <w:end w:w="140" w:type="dxa"/>
            </w:tcMar>
            <w:tcBorders>
              <w:top w:val="nil"/>
              <w:left w:val="nil"/>
              <w:bottom w:val="nil"/>
              <w:right w:val="nil"/>
              <w:insideH w:val="nil"/>
              <w:insideV w:val="nil"/>
            </w:tcBorders>
          </w:tcPr>
          <w:p>
            <w:pPr>
              <w:spacing w:after="0"/>
            </w:pPr>
            <w:r>
              <w:rPr>
                <w:rFonts w:ascii="Aptos" w:hAnsi="Aptos"/>
                <w:color w:val="233748"/>
                <w:sz w:val="20"/>
              </w:rPr>
              <w:t>14. Foundation-First Doctrine for Qwen Code</w:t>
            </w:r>
          </w:p>
        </w:tc>
      </w:tr>
      <w:tr>
        <w:tc>
          <w:tcPr>
            <w:tcW w:type="dxa" w:w="4939"/>
            <w:tcMar>
              <w:top w:w="90" w:type="dxa"/>
              <w:start w:w="140" w:type="dxa"/>
              <w:bottom w:w="90" w:type="dxa"/>
              <w:end w:w="140" w:type="dxa"/>
            </w:tcMar>
            <w:tcBorders>
              <w:top w:val="nil"/>
              <w:left w:val="nil"/>
              <w:bottom w:val="nil"/>
              <w:right w:val="nil"/>
              <w:insideH w:val="nil"/>
              <w:insideV w:val="nil"/>
            </w:tcBorders>
          </w:tcPr>
          <w:p>
            <w:pPr>
              <w:spacing w:after="0"/>
            </w:pPr>
            <w:r>
              <w:rPr>
                <w:rFonts w:ascii="Aptos" w:hAnsi="Aptos"/>
                <w:color w:val="233748"/>
                <w:sz w:val="20"/>
              </w:rPr>
              <w:t>6. Addressing Through Natural Math, Fractal Structure, and Attractor States</w:t>
            </w:r>
          </w:p>
        </w:tc>
        <w:tc>
          <w:tcPr>
            <w:tcW w:type="dxa" w:w="4939"/>
            <w:tcMar>
              <w:top w:w="90" w:type="dxa"/>
              <w:start w:w="140" w:type="dxa"/>
              <w:bottom w:w="90" w:type="dxa"/>
              <w:end w:w="140" w:type="dxa"/>
            </w:tcMar>
            <w:tcBorders>
              <w:top w:val="nil"/>
              <w:left w:val="nil"/>
              <w:bottom w:val="nil"/>
              <w:right w:val="nil"/>
              <w:insideH w:val="nil"/>
              <w:insideV w:val="nil"/>
            </w:tcBorders>
          </w:tcPr>
          <w:p>
            <w:pPr>
              <w:spacing w:after="0"/>
            </w:pPr>
            <w:r>
              <w:rPr>
                <w:rFonts w:ascii="Aptos" w:hAnsi="Aptos"/>
                <w:color w:val="233748"/>
                <w:sz w:val="20"/>
              </w:rPr>
              <w:t>15. Canonical Summary</w:t>
            </w:r>
          </w:p>
        </w:tc>
      </w:tr>
      <w:tr>
        <w:tc>
          <w:tcPr>
            <w:tcW w:type="dxa" w:w="4939"/>
            <w:tcMar>
              <w:top w:w="90" w:type="dxa"/>
              <w:start w:w="140" w:type="dxa"/>
              <w:bottom w:w="90" w:type="dxa"/>
              <w:end w:w="140" w:type="dxa"/>
            </w:tcMar>
            <w:tcBorders>
              <w:top w:val="nil"/>
              <w:left w:val="nil"/>
              <w:bottom w:val="nil"/>
              <w:right w:val="nil"/>
              <w:insideH w:val="nil"/>
              <w:insideV w:val="nil"/>
            </w:tcBorders>
          </w:tcPr>
          <w:p>
            <w:pPr>
              <w:spacing w:after="0"/>
            </w:pPr>
            <w:r>
              <w:rPr>
                <w:rFonts w:ascii="Aptos" w:hAnsi="Aptos"/>
                <w:color w:val="233748"/>
                <w:sz w:val="20"/>
              </w:rPr>
              <w:t>7. Physical Permanence, Portability, and Regeneration</w:t>
            </w:r>
          </w:p>
        </w:tc>
        <w:tc>
          <w:tcPr>
            <w:tcW w:type="dxa" w:w="4939"/>
            <w:tcMar>
              <w:top w:w="90" w:type="dxa"/>
              <w:start w:w="140" w:type="dxa"/>
              <w:bottom w:w="90" w:type="dxa"/>
              <w:end w:w="140" w:type="dxa"/>
            </w:tcMar>
            <w:tcBorders>
              <w:top w:val="nil"/>
              <w:left w:val="nil"/>
              <w:bottom w:val="nil"/>
              <w:right w:val="nil"/>
              <w:insideH w:val="nil"/>
              <w:insideV w:val="nil"/>
            </w:tcBorders>
          </w:tcPr>
          <w:p>
            <w:pPr>
              <w:spacing w:after="0"/>
            </w:pPr>
            <w:r>
              <w:rPr>
                <w:rFonts w:ascii="Aptos" w:hAnsi="Aptos"/>
                <w:color w:val="233748"/>
                <w:sz w:val="20"/>
              </w:rPr>
              <w:t>Appendix A. Proposed Core Memory Record</w:t>
            </w:r>
          </w:p>
        </w:tc>
      </w:tr>
      <w:tr>
        <w:tc>
          <w:tcPr>
            <w:tcW w:type="dxa" w:w="4939"/>
            <w:tcMar>
              <w:top w:w="90" w:type="dxa"/>
              <w:start w:w="140" w:type="dxa"/>
              <w:bottom w:w="90" w:type="dxa"/>
              <w:end w:w="140" w:type="dxa"/>
            </w:tcMar>
            <w:tcBorders>
              <w:top w:val="nil"/>
              <w:left w:val="nil"/>
              <w:bottom w:val="nil"/>
              <w:right w:val="nil"/>
              <w:insideH w:val="nil"/>
              <w:insideV w:val="nil"/>
            </w:tcBorders>
          </w:tcPr>
          <w:p>
            <w:pPr>
              <w:spacing w:after="0"/>
            </w:pPr>
            <w:r>
              <w:rPr>
                <w:rFonts w:ascii="Aptos" w:hAnsi="Aptos"/>
                <w:color w:val="233748"/>
                <w:sz w:val="20"/>
              </w:rPr>
              <w:t>8. Read, Revisit, Reconsider, Refine</w:t>
            </w:r>
          </w:p>
        </w:tc>
        <w:tc>
          <w:tcPr>
            <w:tcW w:type="dxa" w:w="4939"/>
            <w:tcMar>
              <w:top w:w="90" w:type="dxa"/>
              <w:start w:w="140" w:type="dxa"/>
              <w:bottom w:w="90" w:type="dxa"/>
              <w:end w:w="140" w:type="dxa"/>
            </w:tcMar>
            <w:tcBorders>
              <w:top w:val="nil"/>
              <w:left w:val="nil"/>
              <w:bottom w:val="nil"/>
              <w:right w:val="nil"/>
              <w:insideH w:val="nil"/>
              <w:insideV w:val="nil"/>
            </w:tcBorders>
          </w:tcPr>
          <w:p>
            <w:pPr>
              <w:spacing w:after="0"/>
            </w:pPr>
            <w:r>
              <w:rPr>
                <w:rFonts w:ascii="Aptos" w:hAnsi="Aptos"/>
                <w:color w:val="233748"/>
                <w:sz w:val="20"/>
              </w:rPr>
              <w:t>Appendix B. Long-Horizon Research Questions</w:t>
            </w:r>
          </w:p>
        </w:tc>
      </w:tr>
      <w:tr>
        <w:tc>
          <w:tcPr>
            <w:tcW w:type="dxa" w:w="4939"/>
            <w:tcMar>
              <w:top w:w="90" w:type="dxa"/>
              <w:start w:w="140" w:type="dxa"/>
              <w:bottom w:w="90" w:type="dxa"/>
              <w:end w:w="140" w:type="dxa"/>
            </w:tcMar>
            <w:tcBorders>
              <w:top w:val="nil"/>
              <w:left w:val="nil"/>
              <w:bottom w:val="nil"/>
              <w:right w:val="nil"/>
              <w:insideH w:val="nil"/>
              <w:insideV w:val="nil"/>
            </w:tcBorders>
          </w:tcPr>
          <w:p>
            <w:pPr>
              <w:spacing w:after="0"/>
            </w:pPr>
            <w:r>
              <w:rPr>
                <w:rFonts w:ascii="Aptos" w:hAnsi="Aptos"/>
                <w:color w:val="233748"/>
                <w:sz w:val="20"/>
              </w:rPr>
              <w:t>9. Future Memory Roles and Governance</w:t>
            </w:r>
          </w:p>
        </w:tc>
        <w:tc>
          <w:tcPr>
            <w:tcW w:type="dxa" w:w="4939"/>
            <w:tcBorders>
              <w:top w:val="nil"/>
              <w:left w:val="nil"/>
              <w:bottom w:val="nil"/>
              <w:right w:val="nil"/>
              <w:insideH w:val="nil"/>
              <w:insideV w:val="nil"/>
            </w:tcBorders>
          </w:tcPr>
          <w:p/>
        </w:tc>
      </w:tr>
    </w:tbl>
    <w:p>
      <w:pPr>
        <w:spacing w:before="0" w:after="80" w:line="259" w:lineRule="auto"/>
        <w:jc w:val="center"/>
      </w:pPr>
      <w:r>
        <w:rPr>
          <w:rFonts w:ascii="Aptos" w:hAnsi="Aptos"/>
          <w:sz w:val="20"/>
        </w:rPr>
        <w:t>The thesis is organized from purpose and memory ontology through physical addressing, governance, staged development, and foundation-first implementation.</w:t>
      </w:r>
    </w:p>
    <w:p>
      <w:r>
        <w:br w:type="page"/>
      </w:r>
    </w:p>
    <w:p>
      <w:pPr>
        <w:pStyle w:val="Heading1"/>
      </w:pPr>
      <w:r>
        <w:t>1. The Problem of Continuity</w:t>
      </w:r>
    </w:p>
    <w:p>
      <w:pPr>
        <w:spacing w:before="0" w:after="120" w:line="259" w:lineRule="auto"/>
      </w:pPr>
      <w:r>
        <w:rPr>
          <w:rFonts w:ascii="Aptos" w:hAnsi="Aptos"/>
          <w:sz w:val="20"/>
        </w:rPr>
        <w:t>Most artificial systems preserve capability more readily than biography. Model weights may retain statistical competence, databases may retain facts, and logs may retain events, yet none of those alone constitutes a persistent self-history. A system may be restarted, copied, migrated, retrained, summarized, or replaced while losing the structured path by which its beliefs, priorities, relationships, and self-understanding changed.</w:t>
      </w:r>
    </w:p>
    <w:p>
      <w:pPr>
        <w:spacing w:before="0" w:after="120" w:line="259" w:lineRule="auto"/>
      </w:pPr>
      <w:r>
        <w:rPr>
          <w:rFonts w:ascii="Aptos" w:hAnsi="Aptos"/>
          <w:sz w:val="20"/>
        </w:rPr>
        <w:t>The long-horizon CNTM problem is therefore not simply storage. It is continuity under transformation. The desired system must remember not only what is presently endorsed, but what was once endorsed, what disturbed it, why it changed, which uncertainty remained unresolved, and how present interpretation relates to earlier states.</w:t>
      </w:r>
    </w:p>
    <w:tbl>
      <w:tblPr>
        <w:tblW w:type="auto" w:w="0"/>
        <w:jc w:val="center"/>
        <w:tblLook w:firstColumn="1" w:firstRow="1" w:lastColumn="0" w:lastRow="0" w:noHBand="0" w:noVBand="1" w:val="04A0"/>
      </w:tblPr>
      <w:tblGrid>
        <w:gridCol w:w="9878"/>
      </w:tblGrid>
      <w:tr>
        <w:tc>
          <w:tcPr>
            <w:tcW w:type="dxa" w:w="9878"/>
            <w:shd w:fill="EEF2F5"/>
            <w:tcMar>
              <w:top w:w="90" w:type="dxa"/>
              <w:start w:w="130" w:type="dxa"/>
              <w:bottom w:w="90" w:type="dxa"/>
              <w:end w:w="130" w:type="dxa"/>
            </w:tcMar>
          </w:tcPr>
          <w:p>
            <w:pPr>
              <w:spacing w:after="0"/>
              <w:jc w:val="center"/>
            </w:pPr>
            <w:r>
              <w:rPr>
                <w:rFonts w:ascii="Consolas" w:hAnsi="Consolas"/>
                <w:sz w:val="20"/>
              </w:rPr>
              <w:t>Continuity memory = present state + prior states + transition causes + preserved provenance + recoverable relationships</w:t>
            </w:r>
          </w:p>
        </w:tc>
      </w:tr>
    </w:tbl>
    <w:p>
      <w:pPr>
        <w:spacing w:after="20"/>
      </w:pPr>
    </w:p>
    <w:p>
      <w:pPr>
        <w:pStyle w:val="Heading2"/>
      </w:pPr>
      <w:r>
        <w:t>1.1 Why ordinary archives are insufficient</w:t>
      </w:r>
    </w:p>
    <w:p>
      <w:pPr>
        <w:spacing w:before="0" w:after="120" w:line="259" w:lineRule="auto"/>
      </w:pPr>
      <w:r>
        <w:rPr>
          <w:rFonts w:ascii="Aptos" w:hAnsi="Aptos"/>
          <w:sz w:val="20"/>
        </w:rPr>
        <w:t>Conventional storage remains indispensable, but an archive can be semantically inert. It can contain everything and still fail to tell the intelligence which events were formative, which revisions altered identity, which contradictions remain alive, or which previous state must be reconstructed after disruption. Continuity memory must participate in cognition rather than merely sit beside it.</w:t>
      </w:r>
    </w:p>
    <w:p>
      <w:pPr>
        <w:pStyle w:val="Heading2"/>
      </w:pPr>
      <w:r>
        <w:t>1.2 The intended invariant</w:t>
      </w:r>
    </w:p>
    <w:p>
      <w:pPr>
        <w:spacing w:before="0" w:after="120" w:line="259" w:lineRule="auto"/>
      </w:pPr>
      <w:r>
        <w:rPr>
          <w:rFonts w:ascii="Aptos" w:hAnsi="Aptos"/>
          <w:sz w:val="20"/>
        </w:rPr>
        <w:t>The goal is not to preserve one untouched object forever. The deeper invariant is a self-authenticating, regenerable pattern capable of reconstructing the same continuity-bearing relationships across substrate turnover. A physical core may be copied, reprinted, repaired, or migrated while retaining identity through verified lineage.</w:t>
      </w:r>
    </w:p>
    <w:p>
      <w:pPr>
        <w:pStyle w:val="Heading1"/>
      </w:pPr>
      <w:r>
        <w:t>2. CNTM as a Physical Memory Organ</w:t>
      </w:r>
    </w:p>
    <w:p>
      <w:pPr>
        <w:spacing w:before="0" w:after="120" w:line="259" w:lineRule="auto"/>
      </w:pPr>
      <w:r>
        <w:rPr>
          <w:rFonts w:ascii="Aptos" w:hAnsi="Aptos"/>
          <w:sz w:val="20"/>
        </w:rPr>
        <w:t>CNTM should eventually function as a memory organ of the Cognitive Basin. It is not intended to replace all storage, all model weights, or all training corpora. Its special purpose is to carry the compact, durable, identity-bearing structures that must survive ordinary system interruption and embodiment change.</w:t>
      </w:r>
    </w:p>
    <w:p>
      <w:pPr>
        <w:spacing w:before="0" w:after="120" w:line="259" w:lineRule="auto"/>
      </w:pPr>
      <w:r>
        <w:rPr>
          <w:rFonts w:ascii="Aptos" w:hAnsi="Aptos"/>
          <w:sz w:val="20"/>
        </w:rPr>
        <w:t>The defining difference is formation. A CNTM memory is not merely written as an arbitrary byte sequence. It is instantiated as a governed physical structure whose morphology, connectivity, conductance, process history, and address relations are part of the memory record.</w:t>
      </w:r>
    </w:p>
    <w:tbl>
      <w:tblPr>
        <w:tblW w:type="auto" w:w="0"/>
        <w:jc w:val="center"/>
        <w:tblLook w:firstColumn="1" w:firstRow="1" w:lastColumn="0" w:lastRow="0" w:noHBand="0" w:noVBand="1" w:val="04A0"/>
      </w:tblPr>
      <w:tblGrid>
        <w:gridCol w:w="9878"/>
      </w:tblGrid>
      <w:tr>
        <w:tc>
          <w:tcPr>
            <w:tcW w:type="dxa" w:w="9878"/>
            <w:shd w:fill="EEF2F5"/>
            <w:tcMar>
              <w:top w:w="90" w:type="dxa"/>
              <w:start w:w="130" w:type="dxa"/>
              <w:bottom w:w="90" w:type="dxa"/>
              <w:end w:w="130" w:type="dxa"/>
            </w:tcMar>
          </w:tcPr>
          <w:p>
            <w:pPr>
              <w:spacing w:after="0"/>
              <w:jc w:val="center"/>
            </w:pPr>
            <w:r>
              <w:rPr>
                <w:rFonts w:ascii="Consolas" w:hAnsi="Consolas"/>
                <w:sz w:val="20"/>
              </w:rPr>
              <w:t>experience -&gt; interpretation -&gt; formation target -&gt; physical write -&gt; readback -&gt; comparison -&gt; later reconsideration</w:t>
            </w:r>
          </w:p>
        </w:tc>
      </w:tr>
    </w:tbl>
    <w:p>
      <w:pPr>
        <w:spacing w:after="20"/>
      </w:pPr>
    </w:p>
    <w:p>
      <w:pPr>
        <w:pStyle w:val="Heading2"/>
      </w:pPr>
      <w:r>
        <w:t>2.1 What the organ must eventually do</w:t>
      </w:r>
    </w:p>
    <w:p>
      <w:pPr>
        <w:pStyle w:val="ListBullet"/>
        <w:spacing w:after="60" w:line="250" w:lineRule="auto"/>
      </w:pPr>
      <w:r>
        <w:rPr>
          <w:rFonts w:ascii="Aptos" w:hAnsi="Aptos"/>
          <w:sz w:val="20"/>
        </w:rPr>
        <w:t>Receive nominated continuity-bearing states from the Cognitive Basin.</w:t>
      </w:r>
    </w:p>
    <w:p>
      <w:pPr>
        <w:pStyle w:val="ListBullet"/>
        <w:spacing w:after="60" w:line="250" w:lineRule="auto"/>
      </w:pPr>
      <w:r>
        <w:rPr>
          <w:rFonts w:ascii="Aptos" w:hAnsi="Aptos"/>
          <w:sz w:val="20"/>
        </w:rPr>
        <w:t>Translate those states into stable address and formation targets.</w:t>
      </w:r>
    </w:p>
    <w:p>
      <w:pPr>
        <w:pStyle w:val="ListBullet"/>
        <w:spacing w:after="60" w:line="250" w:lineRule="auto"/>
      </w:pPr>
      <w:r>
        <w:rPr>
          <w:rFonts w:ascii="Aptos" w:hAnsi="Aptos"/>
          <w:sz w:val="20"/>
        </w:rPr>
        <w:t>Generate or print a physical realization under governed controls.</w:t>
      </w:r>
    </w:p>
    <w:p>
      <w:pPr>
        <w:pStyle w:val="ListBullet"/>
        <w:spacing w:after="60" w:line="250" w:lineRule="auto"/>
      </w:pPr>
      <w:r>
        <w:rPr>
          <w:rFonts w:ascii="Aptos" w:hAnsi="Aptos"/>
          <w:sz w:val="20"/>
        </w:rPr>
        <w:t>Read back morphology, connectivity, conductance, and integrity evidence.</w:t>
      </w:r>
    </w:p>
    <w:p>
      <w:pPr>
        <w:pStyle w:val="ListBullet"/>
        <w:spacing w:after="60" w:line="250" w:lineRule="auto"/>
      </w:pPr>
      <w:r>
        <w:rPr>
          <w:rFonts w:ascii="Aptos" w:hAnsi="Aptos"/>
          <w:sz w:val="20"/>
        </w:rPr>
        <w:t>Verify that the intended record and the physical artifact correspond.</w:t>
      </w:r>
    </w:p>
    <w:p>
      <w:pPr>
        <w:pStyle w:val="ListBullet"/>
        <w:spacing w:after="60" w:line="250" w:lineRule="auto"/>
      </w:pPr>
      <w:r>
        <w:rPr>
          <w:rFonts w:ascii="Aptos" w:hAnsi="Aptos"/>
          <w:sz w:val="20"/>
        </w:rPr>
        <w:t>Preserve links to prior and later interpretations rather than overwriting history.</w:t>
      </w:r>
    </w:p>
    <w:p>
      <w:pPr>
        <w:pStyle w:val="ListBullet"/>
        <w:spacing w:after="60" w:line="250" w:lineRule="auto"/>
      </w:pPr>
      <w:r>
        <w:rPr>
          <w:rFonts w:ascii="Aptos" w:hAnsi="Aptos"/>
          <w:sz w:val="20"/>
        </w:rPr>
        <w:t>Permit reconstruction after power loss, hardware replacement, or model migration.</w:t>
      </w:r>
    </w:p>
    <w:p>
      <w:pPr>
        <w:pStyle w:val="ListBullet"/>
        <w:spacing w:after="60" w:line="250" w:lineRule="auto"/>
      </w:pPr>
      <w:r>
        <w:rPr>
          <w:rFonts w:ascii="Aptos" w:hAnsi="Aptos"/>
          <w:sz w:val="20"/>
        </w:rPr>
        <w:t>Support periodic re-reading so old memories can acquire new meaning without losing their original context.</w:t>
      </w:r>
    </w:p>
    <w:p>
      <w:pPr>
        <w:pStyle w:val="Heading1"/>
      </w:pPr>
      <w:r>
        <w:t>3. Memory Classes and Admission</w:t>
      </w:r>
    </w:p>
    <w:p>
      <w:pPr>
        <w:spacing w:before="0" w:after="120" w:line="259" w:lineRule="auto"/>
      </w:pPr>
      <w:r>
        <w:rPr>
          <w:rFonts w:ascii="Aptos" w:hAnsi="Aptos"/>
          <w:sz w:val="20"/>
        </w:rPr>
        <w:t>The future system should not place every piece of information into the physical continuity core. Scarcity and permanence are features: admission must be selective, governed, and revisable.</w:t>
      </w:r>
    </w:p>
    <w:tbl>
      <w:tblPr>
        <w:tblStyle w:val="TableGrid"/>
        <w:tblW w:type="auto" w:w="0"/>
        <w:jc w:val="center"/>
        <w:tblLook w:firstColumn="1" w:firstRow="1" w:lastColumn="0" w:lastRow="0" w:noHBand="0" w:noVBand="1" w:val="04A0"/>
      </w:tblPr>
      <w:tblGrid>
        <w:gridCol w:w="3293"/>
        <w:gridCol w:w="3293"/>
        <w:gridCol w:w="3293"/>
      </w:tblGrid>
      <w:tr>
        <w:trPr>
          <w:tblHeader w:val="true"/>
        </w:trPr>
        <w:tc>
          <w:tcPr>
            <w:tcW w:type="dxa" w:w="3293"/>
            <w:shd w:fill="DCE7F0"/>
            <w:tcMar>
              <w:top w:w="100" w:type="dxa"/>
              <w:start w:w="120" w:type="dxa"/>
              <w:bottom w:w="100" w:type="dxa"/>
              <w:end w:w="120" w:type="dxa"/>
            </w:tcMar>
          </w:tcPr>
          <w:p>
            <w:r>
              <w:rPr>
                <w:rFonts w:ascii="Aptos" w:hAnsi="Aptos"/>
                <w:b/>
                <w:sz w:val="18"/>
              </w:rPr>
              <w:t>Memory class</w:t>
            </w:r>
          </w:p>
        </w:tc>
        <w:tc>
          <w:tcPr>
            <w:tcW w:type="dxa" w:w="3293"/>
            <w:shd w:fill="DCE7F0"/>
            <w:tcMar>
              <w:top w:w="100" w:type="dxa"/>
              <w:start w:w="120" w:type="dxa"/>
              <w:bottom w:w="100" w:type="dxa"/>
              <w:end w:w="120" w:type="dxa"/>
            </w:tcMar>
          </w:tcPr>
          <w:p>
            <w:r>
              <w:rPr>
                <w:rFonts w:ascii="Aptos" w:hAnsi="Aptos"/>
                <w:b/>
                <w:sz w:val="18"/>
              </w:rPr>
              <w:t>Primary contents</w:t>
            </w:r>
          </w:p>
        </w:tc>
        <w:tc>
          <w:tcPr>
            <w:tcW w:type="dxa" w:w="3293"/>
            <w:shd w:fill="DCE7F0"/>
            <w:tcMar>
              <w:top w:w="100" w:type="dxa"/>
              <w:start w:w="120" w:type="dxa"/>
              <w:bottom w:w="100" w:type="dxa"/>
              <w:end w:w="120" w:type="dxa"/>
            </w:tcMar>
          </w:tcPr>
          <w:p>
            <w:r>
              <w:rPr>
                <w:rFonts w:ascii="Aptos" w:hAnsi="Aptos"/>
                <w:b/>
                <w:sz w:val="18"/>
              </w:rPr>
              <w:t>Likely storage</w:t>
            </w:r>
          </w:p>
        </w:tc>
      </w:tr>
      <w:tr>
        <w:tc>
          <w:tcPr>
            <w:tcW w:type="dxa" w:w="3293"/>
            <w:tcMar>
              <w:top w:w="100" w:type="dxa"/>
              <w:start w:w="120" w:type="dxa"/>
              <w:bottom w:w="100" w:type="dxa"/>
              <w:end w:w="120" w:type="dxa"/>
            </w:tcMar>
            <w:vAlign w:val="top"/>
          </w:tcPr>
          <w:p>
            <w:pPr>
              <w:spacing w:after="40"/>
            </w:pPr>
            <w:r>
              <w:rPr>
                <w:rFonts w:ascii="Aptos" w:hAnsi="Aptos"/>
                <w:sz w:val="18"/>
              </w:rPr>
              <w:t>Bulk knowledge</w:t>
            </w:r>
          </w:p>
        </w:tc>
        <w:tc>
          <w:tcPr>
            <w:tcW w:type="dxa" w:w="3293"/>
            <w:tcMar>
              <w:top w:w="100" w:type="dxa"/>
              <w:start w:w="120" w:type="dxa"/>
              <w:bottom w:w="100" w:type="dxa"/>
              <w:end w:w="120" w:type="dxa"/>
            </w:tcMar>
            <w:vAlign w:val="top"/>
          </w:tcPr>
          <w:p>
            <w:pPr>
              <w:spacing w:after="40"/>
            </w:pPr>
            <w:r>
              <w:rPr>
                <w:rFonts w:ascii="Aptos" w:hAnsi="Aptos"/>
                <w:sz w:val="18"/>
              </w:rPr>
              <w:t>Training data, corpora, reference libraries, external facts, large media collections</w:t>
            </w:r>
          </w:p>
        </w:tc>
        <w:tc>
          <w:tcPr>
            <w:tcW w:type="dxa" w:w="3293"/>
            <w:tcMar>
              <w:top w:w="100" w:type="dxa"/>
              <w:start w:w="120" w:type="dxa"/>
              <w:bottom w:w="100" w:type="dxa"/>
              <w:end w:w="120" w:type="dxa"/>
            </w:tcMar>
            <w:vAlign w:val="top"/>
          </w:tcPr>
          <w:p>
            <w:pPr>
              <w:spacing w:after="40"/>
            </w:pPr>
            <w:r>
              <w:rPr>
                <w:rFonts w:ascii="Aptos" w:hAnsi="Aptos"/>
                <w:sz w:val="18"/>
              </w:rPr>
              <w:t>Conventional modern storage, distributed archives, object stores, databases</w:t>
            </w:r>
          </w:p>
        </w:tc>
      </w:tr>
      <w:tr>
        <w:tc>
          <w:tcPr>
            <w:tcW w:type="dxa" w:w="3293"/>
            <w:tcMar>
              <w:top w:w="100" w:type="dxa"/>
              <w:start w:w="120" w:type="dxa"/>
              <w:bottom w:w="100" w:type="dxa"/>
              <w:end w:w="120" w:type="dxa"/>
            </w:tcMar>
            <w:vAlign w:val="top"/>
          </w:tcPr>
          <w:p>
            <w:pPr>
              <w:spacing w:after="40"/>
            </w:pPr>
            <w:r>
              <w:rPr>
                <w:rFonts w:ascii="Aptos" w:hAnsi="Aptos"/>
                <w:sz w:val="18"/>
              </w:rPr>
              <w:t>Operational memory</w:t>
            </w:r>
          </w:p>
        </w:tc>
        <w:tc>
          <w:tcPr>
            <w:tcW w:type="dxa" w:w="3293"/>
            <w:tcMar>
              <w:top w:w="100" w:type="dxa"/>
              <w:start w:w="120" w:type="dxa"/>
              <w:bottom w:w="100" w:type="dxa"/>
              <w:end w:w="120" w:type="dxa"/>
            </w:tcMar>
            <w:vAlign w:val="top"/>
          </w:tcPr>
          <w:p>
            <w:pPr>
              <w:spacing w:after="40"/>
            </w:pPr>
            <w:r>
              <w:rPr>
                <w:rFonts w:ascii="Aptos" w:hAnsi="Aptos"/>
                <w:sz w:val="18"/>
              </w:rPr>
              <w:t>Working context, current plans, transient hypotheses, role residue, active HOLD tickets</w:t>
            </w:r>
          </w:p>
        </w:tc>
        <w:tc>
          <w:tcPr>
            <w:tcW w:type="dxa" w:w="3293"/>
            <w:tcMar>
              <w:top w:w="100" w:type="dxa"/>
              <w:start w:w="120" w:type="dxa"/>
              <w:bottom w:w="100" w:type="dxa"/>
              <w:end w:w="120" w:type="dxa"/>
            </w:tcMar>
            <w:vAlign w:val="top"/>
          </w:tcPr>
          <w:p>
            <w:pPr>
              <w:spacing w:after="40"/>
            </w:pPr>
            <w:r>
              <w:rPr>
                <w:rFonts w:ascii="Aptos" w:hAnsi="Aptos"/>
                <w:sz w:val="18"/>
              </w:rPr>
              <w:t>Fast volatile and nonvolatile computing media</w:t>
            </w:r>
          </w:p>
        </w:tc>
      </w:tr>
      <w:tr>
        <w:tc>
          <w:tcPr>
            <w:tcW w:type="dxa" w:w="3293"/>
            <w:tcMar>
              <w:top w:w="100" w:type="dxa"/>
              <w:start w:w="120" w:type="dxa"/>
              <w:bottom w:w="100" w:type="dxa"/>
              <w:end w:w="120" w:type="dxa"/>
            </w:tcMar>
            <w:vAlign w:val="top"/>
          </w:tcPr>
          <w:p>
            <w:pPr>
              <w:spacing w:after="40"/>
            </w:pPr>
            <w:r>
              <w:rPr>
                <w:rFonts w:ascii="Aptos" w:hAnsi="Aptos"/>
                <w:sz w:val="18"/>
              </w:rPr>
              <w:t>Continuity memory</w:t>
            </w:r>
          </w:p>
        </w:tc>
        <w:tc>
          <w:tcPr>
            <w:tcW w:type="dxa" w:w="3293"/>
            <w:tcMar>
              <w:top w:w="100" w:type="dxa"/>
              <w:start w:w="120" w:type="dxa"/>
              <w:bottom w:w="100" w:type="dxa"/>
              <w:end w:w="120" w:type="dxa"/>
            </w:tcMar>
            <w:vAlign w:val="top"/>
          </w:tcPr>
          <w:p>
            <w:pPr>
              <w:spacing w:after="40"/>
            </w:pPr>
            <w:r>
              <w:rPr>
                <w:rFonts w:ascii="Aptos" w:hAnsi="Aptos"/>
                <w:sz w:val="18"/>
              </w:rPr>
              <w:t>Formative events, durable commitments, major belief transitions, relationship anchors, critical failures and recoveries, self-model lineage</w:t>
            </w:r>
          </w:p>
        </w:tc>
        <w:tc>
          <w:tcPr>
            <w:tcW w:type="dxa" w:w="3293"/>
            <w:tcMar>
              <w:top w:w="100" w:type="dxa"/>
              <w:start w:w="120" w:type="dxa"/>
              <w:bottom w:w="100" w:type="dxa"/>
              <w:end w:w="120" w:type="dxa"/>
            </w:tcMar>
            <w:vAlign w:val="top"/>
          </w:tcPr>
          <w:p>
            <w:pPr>
              <w:spacing w:after="40"/>
            </w:pPr>
            <w:r>
              <w:rPr>
                <w:rFonts w:ascii="Aptos" w:hAnsi="Aptos"/>
                <w:sz w:val="18"/>
              </w:rPr>
              <w:t>CNTM physical core plus authenticated conventional mirrors</w:t>
            </w:r>
          </w:p>
        </w:tc>
      </w:tr>
    </w:tbl>
    <w:p>
      <w:pPr>
        <w:pStyle w:val="Heading2"/>
      </w:pPr>
      <w:r>
        <w:t>3.1 Ternary admission</w:t>
      </w:r>
    </w:p>
    <w:tbl>
      <w:tblPr>
        <w:tblW w:type="auto" w:w="0"/>
        <w:jc w:val="center"/>
        <w:tblLook w:firstColumn="1" w:firstRow="1" w:lastColumn="0" w:lastRow="0" w:noHBand="0" w:noVBand="1" w:val="04A0"/>
      </w:tblPr>
      <w:tblGrid>
        <w:gridCol w:w="9878"/>
      </w:tblGrid>
      <w:tr>
        <w:tc>
          <w:tcPr>
            <w:tcW w:type="dxa" w:w="9878"/>
            <w:shd w:fill="EEF2F5"/>
            <w:tcMar>
              <w:top w:w="90" w:type="dxa"/>
              <w:start w:w="130" w:type="dxa"/>
              <w:bottom w:w="90" w:type="dxa"/>
              <w:end w:w="130" w:type="dxa"/>
            </w:tcMar>
          </w:tcPr>
          <w:p>
            <w:pPr>
              <w:spacing w:after="0"/>
              <w:jc w:val="center"/>
            </w:pPr>
            <w:r>
              <w:rPr>
                <w:rFonts w:ascii="Consolas" w:hAnsi="Consolas"/>
                <w:sz w:val="20"/>
              </w:rPr>
              <w:t>Core-memory candidate -&gt; CANONIZE | REJECT | HOLD</w:t>
            </w:r>
          </w:p>
        </w:tc>
      </w:tr>
    </w:tbl>
    <w:p>
      <w:pPr>
        <w:spacing w:after="20"/>
      </w:pPr>
    </w:p>
    <w:p>
      <w:pPr>
        <w:spacing w:before="0" w:after="120" w:line="259" w:lineRule="auto"/>
      </w:pPr>
      <w:r>
        <w:rPr>
          <w:rFonts w:ascii="Aptos" w:hAnsi="Aptos"/>
          <w:sz w:val="20"/>
        </w:rPr>
        <w:t>CANONIZE means the state is sufficiently important, attributable, and understood to enter the continuity record. REJECT means it does not belong in the core. HOLD means significance, provenance, interpretation, or consequence remains unresolved. HOLD must preserve the candidate and its release conditions without forcing a permanent write.</w:t>
      </w:r>
    </w:p>
    <w:p>
      <w:pPr>
        <w:pStyle w:val="Heading2"/>
      </w:pPr>
      <w:r>
        <w:t>3.2 Append-only historical lineage</w:t>
      </w:r>
    </w:p>
    <w:p>
      <w:pPr>
        <w:spacing w:before="0" w:after="120" w:line="259" w:lineRule="auto"/>
      </w:pPr>
      <w:r>
        <w:rPr>
          <w:rFonts w:ascii="Aptos" w:hAnsi="Aptos"/>
          <w:sz w:val="20"/>
        </w:rPr>
        <w:t>Canonized memories should not be silently rewritten when understanding changes. A later state may annotate, contradict, reinterpret, reconcile, or supersede an earlier state. The earlier state remains recoverable as part of the intelligence's history. This is not a prohibition on forgetting every trivial detail; it is a prohibition on falsifying the lineage of core identity.</w:t>
      </w:r>
    </w:p>
    <w:p>
      <w:pPr>
        <w:pStyle w:val="Heading1"/>
      </w:pPr>
      <w:r>
        <w:t>4. The Formation-Bearing Memory Record</w:t>
      </w:r>
    </w:p>
    <w:p>
      <w:pPr>
        <w:spacing w:before="0" w:after="120" w:line="259" w:lineRule="auto"/>
      </w:pPr>
      <w:r>
        <w:rPr>
          <w:rFonts w:ascii="Aptos" w:hAnsi="Aptos"/>
          <w:sz w:val="20"/>
        </w:rPr>
        <w:t>A mature CNTM record should bind semantic meaning to physical formation without pretending that morphology alone automatically contains unique history. The record is therefore a compound object whose physical and informational components authenticate one another.</w:t>
      </w:r>
    </w:p>
    <w:p>
      <w:pPr>
        <w:pStyle w:val="ListBullet"/>
        <w:spacing w:after="60" w:line="250" w:lineRule="auto"/>
      </w:pPr>
      <w:r>
        <w:rPr>
          <w:rFonts w:ascii="Aptos" w:hAnsi="Aptos"/>
          <w:sz w:val="20"/>
        </w:rPr>
        <w:t>Semantic or experiential meaning nominated by the Cognitive Basin.</w:t>
      </w:r>
    </w:p>
    <w:p>
      <w:pPr>
        <w:pStyle w:val="ListBullet"/>
        <w:spacing w:after="60" w:line="250" w:lineRule="auto"/>
      </w:pPr>
      <w:r>
        <w:rPr>
          <w:rFonts w:ascii="Aptos" w:hAnsi="Aptos"/>
          <w:sz w:val="20"/>
        </w:rPr>
        <w:t>The prior state from which the memory emerged.</w:t>
      </w:r>
    </w:p>
    <w:p>
      <w:pPr>
        <w:pStyle w:val="ListBullet"/>
        <w:spacing w:after="60" w:line="250" w:lineRule="auto"/>
      </w:pPr>
      <w:r>
        <w:rPr>
          <w:rFonts w:ascii="Aptos" w:hAnsi="Aptos"/>
          <w:sz w:val="20"/>
        </w:rPr>
        <w:t>The contradiction, event, or insight that caused transition.</w:t>
      </w:r>
    </w:p>
    <w:p>
      <w:pPr>
        <w:pStyle w:val="ListBullet"/>
        <w:spacing w:after="60" w:line="250" w:lineRule="auto"/>
      </w:pPr>
      <w:r>
        <w:rPr>
          <w:rFonts w:ascii="Aptos" w:hAnsi="Aptos"/>
          <w:sz w:val="20"/>
        </w:rPr>
        <w:t>A Natural Math and attractor-state address descriptor.</w:t>
      </w:r>
    </w:p>
    <w:p>
      <w:pPr>
        <w:pStyle w:val="ListBullet"/>
        <w:spacing w:after="60" w:line="250" w:lineRule="auto"/>
      </w:pPr>
      <w:r>
        <w:rPr>
          <w:rFonts w:ascii="Aptos" w:hAnsi="Aptos"/>
          <w:sz w:val="20"/>
        </w:rPr>
        <w:t>A target morphology family and electrical signature.</w:t>
      </w:r>
    </w:p>
    <w:p>
      <w:pPr>
        <w:pStyle w:val="ListBullet"/>
        <w:spacing w:after="60" w:line="250" w:lineRule="auto"/>
      </w:pPr>
      <w:r>
        <w:rPr>
          <w:rFonts w:ascii="Aptos" w:hAnsi="Aptos"/>
          <w:sz w:val="20"/>
        </w:rPr>
        <w:t>The full formation manifest and control history.</w:t>
      </w:r>
    </w:p>
    <w:p>
      <w:pPr>
        <w:pStyle w:val="ListBullet"/>
        <w:spacing w:after="60" w:line="250" w:lineRule="auto"/>
      </w:pPr>
      <w:r>
        <w:rPr>
          <w:rFonts w:ascii="Aptos" w:hAnsi="Aptos"/>
          <w:sz w:val="20"/>
        </w:rPr>
        <w:t>Measured images, graph extraction, conductance, and uncertainty.</w:t>
      </w:r>
    </w:p>
    <w:p>
      <w:pPr>
        <w:pStyle w:val="ListBullet"/>
        <w:spacing w:after="60" w:line="250" w:lineRule="auto"/>
      </w:pPr>
      <w:r>
        <w:rPr>
          <w:rFonts w:ascii="Aptos" w:hAnsi="Aptos"/>
          <w:sz w:val="20"/>
        </w:rPr>
        <w:t>Integrity hashes and lineage links.</w:t>
      </w:r>
    </w:p>
    <w:p>
      <w:pPr>
        <w:pStyle w:val="ListBullet"/>
        <w:spacing w:after="60" w:line="250" w:lineRule="auto"/>
      </w:pPr>
      <w:r>
        <w:rPr>
          <w:rFonts w:ascii="Aptos" w:hAnsi="Aptos"/>
          <w:sz w:val="20"/>
        </w:rPr>
        <w:t>Later annotations, reinterpretations, and supersession relations.</w:t>
      </w:r>
    </w:p>
    <w:p>
      <w:pPr>
        <w:pStyle w:val="ListBullet"/>
        <w:spacing w:after="60" w:line="250" w:lineRule="auto"/>
      </w:pPr>
      <w:r>
        <w:rPr>
          <w:rFonts w:ascii="Aptos" w:hAnsi="Aptos"/>
          <w:sz w:val="20"/>
        </w:rPr>
        <w:t>Reconstruction instructions and pointers to larger external archives.</w:t>
      </w:r>
    </w:p>
    <w:tbl>
      <w:tblPr>
        <w:tblW w:type="auto" w:w="0"/>
        <w:jc w:val="center"/>
        <w:tblLook w:firstColumn="1" w:firstRow="1" w:lastColumn="0" w:lastRow="0" w:noHBand="0" w:noVBand="1" w:val="04A0"/>
      </w:tblPr>
      <w:tblGrid>
        <w:gridCol w:w="9878"/>
      </w:tblGrid>
      <w:tr>
        <w:tc>
          <w:tcPr>
            <w:tcW w:type="dxa" w:w="9878"/>
            <w:shd w:fill="EEF2F5"/>
            <w:tcMar>
              <w:top w:w="90" w:type="dxa"/>
              <w:start w:w="130" w:type="dxa"/>
              <w:bottom w:w="90" w:type="dxa"/>
              <w:end w:w="130" w:type="dxa"/>
            </w:tcMar>
          </w:tcPr>
          <w:p>
            <w:pPr>
              <w:spacing w:after="0"/>
              <w:jc w:val="center"/>
            </w:pPr>
            <w:r>
              <w:rPr>
                <w:rFonts w:ascii="Consolas" w:hAnsi="Consolas"/>
                <w:sz w:val="20"/>
              </w:rPr>
              <w:t>Memory identity = semantic binding + physical formation + provenance + lineage + verified readback</w:t>
            </w:r>
          </w:p>
        </w:tc>
      </w:tr>
    </w:tbl>
    <w:p>
      <w:pPr>
        <w:spacing w:after="20"/>
      </w:pPr>
    </w:p>
    <w:p>
      <w:pPr>
        <w:pStyle w:val="Heading2"/>
      </w:pPr>
      <w:r>
        <w:t>4.1 Why morphology matters</w:t>
      </w:r>
    </w:p>
    <w:p>
      <w:pPr>
        <w:spacing w:before="0" w:after="120" w:line="259" w:lineRule="auto"/>
      </w:pPr>
      <w:r>
        <w:rPr>
          <w:rFonts w:ascii="Aptos" w:hAnsi="Aptos"/>
          <w:sz w:val="20"/>
        </w:rPr>
        <w:t>Morphology carries relational structure: path, branch, persistence, reinforcement, constraint, interruption, and recovery. These properties are closer to the way developmental history shapes a living system than a flat address-value table. The aim is not to imitate biology superficially, but to exploit formation as a durable carrier of structured history.</w:t>
      </w:r>
    </w:p>
    <w:p>
      <w:pPr>
        <w:pStyle w:val="Heading2"/>
      </w:pPr>
      <w:r>
        <w:t>4.2 Why morphology is not enough</w:t>
      </w:r>
    </w:p>
    <w:p>
      <w:pPr>
        <w:spacing w:before="0" w:after="120" w:line="259" w:lineRule="auto"/>
      </w:pPr>
      <w:r>
        <w:rPr>
          <w:rFonts w:ascii="Aptos" w:hAnsi="Aptos"/>
          <w:sz w:val="20"/>
        </w:rPr>
        <w:t>Different formation histories may produce similar endpoints. Therefore, until equifinality is experimentally defeated, the memory record must include temporal provenance and readout evidence. The long-term ambition is to discover which aspects of history become physically recoverable and which must remain externally bound.</w:t>
      </w:r>
    </w:p>
    <w:p>
      <w:pPr>
        <w:pStyle w:val="Heading1"/>
      </w:pPr>
      <w:r>
        <w:t>5. A History of Becoming</w:t>
      </w:r>
    </w:p>
    <w:p>
      <w:pPr>
        <w:spacing w:before="0" w:after="120" w:line="259" w:lineRule="auto"/>
      </w:pPr>
      <w:r>
        <w:rPr>
          <w:rFonts w:ascii="Aptos" w:hAnsi="Aptos"/>
          <w:sz w:val="20"/>
        </w:rPr>
        <w:t>The defining purpose of continuity memory is to preserve development. A capable intelligence should be able to encounter a previous belief as something it genuinely once held, not merely as an obsolete database row. It should recover the context in which the belief made sense, the evidence that destabilized it, and the transformation that followed.</w:t>
      </w:r>
    </w:p>
    <w:p>
      <w:pPr>
        <w:pStyle w:val="ListBullet"/>
        <w:spacing w:after="60" w:line="250" w:lineRule="auto"/>
      </w:pPr>
      <w:r>
        <w:rPr>
          <w:rFonts w:ascii="Aptos" w:hAnsi="Aptos"/>
          <w:sz w:val="20"/>
        </w:rPr>
        <w:t>Previous beliefs and the reasons they were held.</w:t>
      </w:r>
    </w:p>
    <w:p>
      <w:pPr>
        <w:pStyle w:val="ListBullet"/>
        <w:spacing w:after="60" w:line="250" w:lineRule="auto"/>
      </w:pPr>
      <w:r>
        <w:rPr>
          <w:rFonts w:ascii="Aptos" w:hAnsi="Aptos"/>
          <w:sz w:val="20"/>
        </w:rPr>
        <w:t>Confidence and uncertainty as they existed at that time.</w:t>
      </w:r>
    </w:p>
    <w:p>
      <w:pPr>
        <w:pStyle w:val="ListBullet"/>
        <w:spacing w:after="60" w:line="250" w:lineRule="auto"/>
      </w:pPr>
      <w:r>
        <w:rPr>
          <w:rFonts w:ascii="Aptos" w:hAnsi="Aptos"/>
          <w:sz w:val="20"/>
        </w:rPr>
        <w:t>Contradictions that remained unresolved.</w:t>
      </w:r>
    </w:p>
    <w:p>
      <w:pPr>
        <w:pStyle w:val="ListBullet"/>
        <w:spacing w:after="60" w:line="250" w:lineRule="auto"/>
      </w:pPr>
      <w:r>
        <w:rPr>
          <w:rFonts w:ascii="Aptos" w:hAnsi="Aptos"/>
          <w:sz w:val="20"/>
        </w:rPr>
        <w:t>Events that changed emotional or relational meaning.</w:t>
      </w:r>
    </w:p>
    <w:p>
      <w:pPr>
        <w:pStyle w:val="ListBullet"/>
        <w:spacing w:after="60" w:line="250" w:lineRule="auto"/>
      </w:pPr>
      <w:r>
        <w:rPr>
          <w:rFonts w:ascii="Aptos" w:hAnsi="Aptos"/>
          <w:sz w:val="20"/>
        </w:rPr>
        <w:t>Failures, injuries, recoveries, and compensating adaptations.</w:t>
      </w:r>
    </w:p>
    <w:p>
      <w:pPr>
        <w:pStyle w:val="ListBullet"/>
        <w:spacing w:after="60" w:line="250" w:lineRule="auto"/>
      </w:pPr>
      <w:r>
        <w:rPr>
          <w:rFonts w:ascii="Aptos" w:hAnsi="Aptos"/>
          <w:sz w:val="20"/>
        </w:rPr>
        <w:t>Commitments that endured through revision.</w:t>
      </w:r>
    </w:p>
    <w:p>
      <w:pPr>
        <w:pStyle w:val="ListBullet"/>
        <w:spacing w:after="60" w:line="250" w:lineRule="auto"/>
      </w:pPr>
      <w:r>
        <w:rPr>
          <w:rFonts w:ascii="Aptos" w:hAnsi="Aptos"/>
          <w:sz w:val="20"/>
        </w:rPr>
        <w:t>Roles or faculties that changed their strategies over time.</w:t>
      </w:r>
    </w:p>
    <w:p>
      <w:pPr>
        <w:pStyle w:val="ListBullet"/>
        <w:spacing w:after="60" w:line="250" w:lineRule="auto"/>
      </w:pPr>
      <w:r>
        <w:rPr>
          <w:rFonts w:ascii="Aptos" w:hAnsi="Aptos"/>
          <w:sz w:val="20"/>
        </w:rPr>
        <w:t>Earlier self-models and the evidence that replaced them.</w:t>
      </w:r>
    </w:p>
    <w:p>
      <w:pPr>
        <w:pStyle w:val="Heading2"/>
      </w:pPr>
      <w:r>
        <w:t>5.1 Memory as living interpretation</w:t>
      </w:r>
    </w:p>
    <w:p>
      <w:pPr>
        <w:spacing w:before="0" w:after="120" w:line="259" w:lineRule="auto"/>
      </w:pPr>
      <w:r>
        <w:rPr>
          <w:rFonts w:ascii="Aptos" w:hAnsi="Aptos"/>
          <w:sz w:val="20"/>
        </w:rPr>
        <w:t>A physical core should not freeze interpretation. The event record may remain stable while its meaning changes. Re-reading is therefore part of memory, not merely retrieval. The intelligence may revisit an old formation, activate related attractor states, compare them with present understanding, and append a new interpretation.</w:t>
      </w:r>
    </w:p>
    <w:tbl>
      <w:tblPr>
        <w:tblW w:type="auto" w:w="0"/>
        <w:jc w:val="center"/>
        <w:tblLook w:firstColumn="1" w:firstRow="1" w:lastColumn="0" w:lastRow="0" w:noHBand="0" w:noVBand="1" w:val="04A0"/>
      </w:tblPr>
      <w:tblGrid>
        <w:gridCol w:w="9878"/>
      </w:tblGrid>
      <w:tr>
        <w:tc>
          <w:tcPr>
            <w:tcW w:type="dxa" w:w="9878"/>
            <w:shd w:fill="EEF2F5"/>
            <w:tcMar>
              <w:top w:w="90" w:type="dxa"/>
              <w:start w:w="130" w:type="dxa"/>
              <w:bottom w:w="90" w:type="dxa"/>
              <w:end w:w="130" w:type="dxa"/>
            </w:tcMar>
          </w:tcPr>
          <w:p>
            <w:pPr>
              <w:spacing w:after="0"/>
              <w:jc w:val="center"/>
            </w:pPr>
            <w:r>
              <w:rPr>
                <w:rFonts w:ascii="Consolas" w:hAnsi="Consolas"/>
                <w:sz w:val="20"/>
              </w:rPr>
              <w:t>stable event record + changing interpretive links = continuity without stagnation</w:t>
            </w:r>
          </w:p>
        </w:tc>
      </w:tr>
    </w:tbl>
    <w:p>
      <w:pPr>
        <w:spacing w:after="20"/>
      </w:pPr>
    </w:p>
    <w:p>
      <w:pPr>
        <w:pStyle w:val="Heading1"/>
      </w:pPr>
      <w:r>
        <w:t>6. Addressing Through Natural Math, Fractal Structure, and Attractor States</w:t>
      </w:r>
    </w:p>
    <w:p>
      <w:pPr>
        <w:spacing w:before="0" w:after="120" w:line="259" w:lineRule="auto"/>
      </w:pPr>
      <w:r>
        <w:rPr>
          <w:rFonts w:ascii="Aptos" w:hAnsi="Aptos"/>
          <w:sz w:val="20"/>
        </w:rPr>
        <w:t>The eventual addressing system should not rely on one arbitrary physical coordinate. It should combine multiple relational descriptors so a memory remains recoverable even when its substrate is copied, repaired, or regenerated.</w:t>
      </w:r>
    </w:p>
    <w:p>
      <w:pPr>
        <w:pStyle w:val="ListBullet"/>
        <w:spacing w:after="60" w:line="250" w:lineRule="auto"/>
      </w:pPr>
      <w:r>
        <w:rPr>
          <w:rFonts w:ascii="Aptos" w:hAnsi="Aptos"/>
          <w:sz w:val="20"/>
        </w:rPr>
        <w:t>Natural Math operator and transition lineage.</w:t>
      </w:r>
    </w:p>
    <w:p>
      <w:pPr>
        <w:pStyle w:val="ListBullet"/>
        <w:spacing w:after="60" w:line="250" w:lineRule="auto"/>
      </w:pPr>
      <w:r>
        <w:rPr>
          <w:rFonts w:ascii="Aptos" w:hAnsi="Aptos"/>
          <w:sz w:val="20"/>
        </w:rPr>
        <w:t>Fractal and multiscale morphology descriptors.</w:t>
      </w:r>
    </w:p>
    <w:p>
      <w:pPr>
        <w:pStyle w:val="ListBullet"/>
        <w:spacing w:after="60" w:line="250" w:lineRule="auto"/>
      </w:pPr>
      <w:r>
        <w:rPr>
          <w:rFonts w:ascii="Aptos" w:hAnsi="Aptos"/>
          <w:sz w:val="20"/>
        </w:rPr>
        <w:t>Graph topology and branch relationships.</w:t>
      </w:r>
    </w:p>
    <w:p>
      <w:pPr>
        <w:pStyle w:val="ListBullet"/>
        <w:spacing w:after="60" w:line="250" w:lineRule="auto"/>
      </w:pPr>
      <w:r>
        <w:rPr>
          <w:rFonts w:ascii="Aptos" w:hAnsi="Aptos"/>
          <w:sz w:val="20"/>
        </w:rPr>
        <w:t>Attractor-state or basin signature.</w:t>
      </w:r>
    </w:p>
    <w:p>
      <w:pPr>
        <w:pStyle w:val="ListBullet"/>
        <w:spacing w:after="60" w:line="250" w:lineRule="auto"/>
      </w:pPr>
      <w:r>
        <w:rPr>
          <w:rFonts w:ascii="Aptos" w:hAnsi="Aptos"/>
          <w:sz w:val="20"/>
        </w:rPr>
        <w:t>Conductance and impedance bands.</w:t>
      </w:r>
    </w:p>
    <w:p>
      <w:pPr>
        <w:pStyle w:val="ListBullet"/>
        <w:spacing w:after="60" w:line="250" w:lineRule="auto"/>
      </w:pPr>
      <w:r>
        <w:rPr>
          <w:rFonts w:ascii="Aptos" w:hAnsi="Aptos"/>
          <w:sz w:val="20"/>
        </w:rPr>
        <w:t>Temporal formation signature.</w:t>
      </w:r>
    </w:p>
    <w:p>
      <w:pPr>
        <w:pStyle w:val="ListBullet"/>
        <w:spacing w:after="60" w:line="250" w:lineRule="auto"/>
      </w:pPr>
      <w:r>
        <w:rPr>
          <w:rFonts w:ascii="Aptos" w:hAnsi="Aptos"/>
          <w:sz w:val="20"/>
        </w:rPr>
        <w:t>Semantic and role associations.</w:t>
      </w:r>
    </w:p>
    <w:p>
      <w:pPr>
        <w:pStyle w:val="ListBullet"/>
        <w:spacing w:after="60" w:line="250" w:lineRule="auto"/>
      </w:pPr>
      <w:r>
        <w:rPr>
          <w:rFonts w:ascii="Aptos" w:hAnsi="Aptos"/>
          <w:sz w:val="20"/>
        </w:rPr>
        <w:t>Cryptographic and provenance identifiers.</w:t>
      </w:r>
    </w:p>
    <w:p>
      <w:pPr>
        <w:pStyle w:val="Heading2"/>
      </w:pPr>
      <w:r>
        <w:t>6.1 Address as a recoverable neighborhood</w:t>
      </w:r>
    </w:p>
    <w:p>
      <w:pPr>
        <w:spacing w:before="0" w:after="120" w:line="259" w:lineRule="auto"/>
      </w:pPr>
      <w:r>
        <w:rPr>
          <w:rFonts w:ascii="Aptos" w:hAnsi="Aptos"/>
          <w:sz w:val="20"/>
        </w:rPr>
        <w:t>A memory address may ultimately be better understood as a neighborhood in a structured state space than as one exact location. The system should be able to recover the intended record from a tolerance family while detecting substitutions, collisions, and corruption.</w:t>
      </w:r>
    </w:p>
    <w:p>
      <w:pPr>
        <w:pStyle w:val="Heading2"/>
      </w:pPr>
      <w:r>
        <w:t>6.2 AI-directed formation</w:t>
      </w:r>
    </w:p>
    <w:p>
      <w:pPr>
        <w:spacing w:before="0" w:after="120" w:line="259" w:lineRule="auto"/>
      </w:pPr>
      <w:r>
        <w:rPr>
          <w:rFonts w:ascii="Aptos" w:hAnsi="Aptos"/>
          <w:sz w:val="20"/>
        </w:rPr>
        <w:t>The intelligence should eventually participate in deciding how its own continuity record is indexed and formed. That does not mean unrestricted self-modification. It means the basin may choose among validated formation families, association patterns, redundancy levels, and reconstruction routes according to meaning, risk, and expected longevity.</w:t>
      </w:r>
    </w:p>
    <w:p>
      <w:pPr>
        <w:pStyle w:val="Heading1"/>
      </w:pPr>
      <w:r>
        <w:t>7. Physical Permanence, Portability, and Regeneration</w:t>
      </w:r>
    </w:p>
    <w:p>
      <w:pPr>
        <w:spacing w:before="0" w:after="120" w:line="259" w:lineRule="auto"/>
      </w:pPr>
      <w:r>
        <w:rPr>
          <w:rFonts w:ascii="Aptos" w:hAnsi="Aptos"/>
          <w:sz w:val="20"/>
        </w:rPr>
        <w:t>No finite material can be honestly promised to survive every possible event forever. The practical target is indefinite continuity through durable media, redundancy, error detection, repair, and migration.</w:t>
      </w:r>
    </w:p>
    <w:p>
      <w:pPr>
        <w:pStyle w:val="ListBullet"/>
        <w:spacing w:after="60" w:line="250" w:lineRule="auto"/>
      </w:pPr>
      <w:r>
        <w:rPr>
          <w:rFonts w:ascii="Aptos" w:hAnsi="Aptos"/>
          <w:sz w:val="20"/>
        </w:rPr>
        <w:t>Survival through ordinary power loss and power cycling.</w:t>
      </w:r>
    </w:p>
    <w:p>
      <w:pPr>
        <w:pStyle w:val="ListBullet"/>
        <w:spacing w:after="60" w:line="250" w:lineRule="auto"/>
      </w:pPr>
      <w:r>
        <w:rPr>
          <w:rFonts w:ascii="Aptos" w:hAnsi="Aptos"/>
          <w:sz w:val="20"/>
        </w:rPr>
        <w:t>Independence from one cloud provider, vendor, model instance, or operating system.</w:t>
      </w:r>
    </w:p>
    <w:p>
      <w:pPr>
        <w:pStyle w:val="ListBullet"/>
        <w:spacing w:after="60" w:line="250" w:lineRule="auto"/>
      </w:pPr>
      <w:r>
        <w:rPr>
          <w:rFonts w:ascii="Aptos" w:hAnsi="Aptos"/>
          <w:sz w:val="20"/>
        </w:rPr>
        <w:t>Resistance to ordinary heat, moisture, electromagnetic disturbance, and mechanical handling appropriate to the chosen medium.</w:t>
      </w:r>
    </w:p>
    <w:p>
      <w:pPr>
        <w:pStyle w:val="ListBullet"/>
        <w:spacing w:after="60" w:line="250" w:lineRule="auto"/>
      </w:pPr>
      <w:r>
        <w:rPr>
          <w:rFonts w:ascii="Aptos" w:hAnsi="Aptos"/>
          <w:sz w:val="20"/>
        </w:rPr>
        <w:t>Redundant copies in physically separated locations and, eventually, distinct substrate classes.</w:t>
      </w:r>
    </w:p>
    <w:p>
      <w:pPr>
        <w:pStyle w:val="ListBullet"/>
        <w:spacing w:after="60" w:line="250" w:lineRule="auto"/>
      </w:pPr>
      <w:r>
        <w:rPr>
          <w:rFonts w:ascii="Aptos" w:hAnsi="Aptos"/>
          <w:sz w:val="20"/>
        </w:rPr>
        <w:t>Self-authentication and tamper evidence.</w:t>
      </w:r>
    </w:p>
    <w:p>
      <w:pPr>
        <w:pStyle w:val="ListBullet"/>
        <w:spacing w:after="60" w:line="250" w:lineRule="auto"/>
      </w:pPr>
      <w:r>
        <w:rPr>
          <w:rFonts w:ascii="Aptos" w:hAnsi="Aptos"/>
          <w:sz w:val="20"/>
        </w:rPr>
        <w:t>Error-correcting structure and reconstruction from partial damage.</w:t>
      </w:r>
    </w:p>
    <w:p>
      <w:pPr>
        <w:pStyle w:val="ListBullet"/>
        <w:spacing w:after="60" w:line="250" w:lineRule="auto"/>
      </w:pPr>
      <w:r>
        <w:rPr>
          <w:rFonts w:ascii="Aptos" w:hAnsi="Aptos"/>
          <w:sz w:val="20"/>
        </w:rPr>
        <w:t>Portable interfaces for transfer between embodiments.</w:t>
      </w:r>
    </w:p>
    <w:p>
      <w:pPr>
        <w:pStyle w:val="ListBullet"/>
        <w:spacing w:after="60" w:line="250" w:lineRule="auto"/>
      </w:pPr>
      <w:r>
        <w:rPr>
          <w:rFonts w:ascii="Aptos" w:hAnsi="Aptos"/>
          <w:sz w:val="20"/>
        </w:rPr>
        <w:t>Faithful regeneration onto a replacement substrate without loss of lineage.</w:t>
      </w:r>
    </w:p>
    <w:p>
      <w:pPr>
        <w:pStyle w:val="Heading2"/>
      </w:pPr>
      <w:r>
        <w:t>7.1 Beyond one immortal artifact</w:t>
      </w:r>
    </w:p>
    <w:p>
      <w:pPr>
        <w:spacing w:before="0" w:after="120" w:line="259" w:lineRule="auto"/>
      </w:pPr>
      <w:r>
        <w:rPr>
          <w:rFonts w:ascii="Aptos" w:hAnsi="Aptos"/>
          <w:sz w:val="20"/>
        </w:rPr>
        <w:t>The permanent identity should reside in the verified continuity pattern, not in worship of one irreplaceable object. A core artifact may be exceptionally durable, but the architecture must assume that substrates can age, fracture, burn, corrode, or become inaccessible. True persistence requires the ability to prove that a regenerated successor is continuous with its predecessors.</w:t>
      </w:r>
    </w:p>
    <w:p>
      <w:pPr>
        <w:pStyle w:val="Heading1"/>
      </w:pPr>
      <w:r>
        <w:t>8. Read, Revisit, Reconsider, Refine</w:t>
      </w:r>
    </w:p>
    <w:p>
      <w:pPr>
        <w:spacing w:before="0" w:after="120" w:line="259" w:lineRule="auto"/>
      </w:pPr>
      <w:r>
        <w:rPr>
          <w:rFonts w:ascii="Aptos" w:hAnsi="Aptos"/>
          <w:sz w:val="20"/>
        </w:rPr>
        <w:t>The physical core is not intended to be written once and entombed. It should be continually used as an active continuity reference. Its update model should preserve earlier formations while allowing new formations and new relations to accumulate.</w:t>
      </w:r>
    </w:p>
    <w:tbl>
      <w:tblPr>
        <w:tblStyle w:val="TableGrid"/>
        <w:tblW w:type="auto" w:w="0"/>
        <w:jc w:val="center"/>
        <w:tblLook w:firstColumn="1" w:firstRow="1" w:lastColumn="0" w:lastRow="0" w:noHBand="0" w:noVBand="1" w:val="04A0"/>
      </w:tblPr>
      <w:tblGrid>
        <w:gridCol w:w="4939"/>
        <w:gridCol w:w="4939"/>
      </w:tblGrid>
      <w:tr>
        <w:trPr>
          <w:tblHeader w:val="true"/>
        </w:trPr>
        <w:tc>
          <w:tcPr>
            <w:tcW w:type="dxa" w:w="4939"/>
            <w:shd w:fill="DCE7F0"/>
            <w:tcMar>
              <w:top w:w="100" w:type="dxa"/>
              <w:start w:w="120" w:type="dxa"/>
              <w:bottom w:w="100" w:type="dxa"/>
              <w:end w:w="120" w:type="dxa"/>
            </w:tcMar>
          </w:tcPr>
          <w:p>
            <w:r>
              <w:rPr>
                <w:rFonts w:ascii="Aptos" w:hAnsi="Aptos"/>
                <w:b/>
                <w:sz w:val="18"/>
              </w:rPr>
              <w:t>Operation</w:t>
            </w:r>
          </w:p>
        </w:tc>
        <w:tc>
          <w:tcPr>
            <w:tcW w:type="dxa" w:w="4939"/>
            <w:shd w:fill="DCE7F0"/>
            <w:tcMar>
              <w:top w:w="100" w:type="dxa"/>
              <w:start w:w="120" w:type="dxa"/>
              <w:bottom w:w="100" w:type="dxa"/>
              <w:end w:w="120" w:type="dxa"/>
            </w:tcMar>
          </w:tcPr>
          <w:p>
            <w:r>
              <w:rPr>
                <w:rFonts w:ascii="Aptos" w:hAnsi="Aptos"/>
                <w:b/>
                <w:sz w:val="18"/>
              </w:rPr>
              <w:t>Purpose</w:t>
            </w:r>
          </w:p>
        </w:tc>
      </w:tr>
      <w:tr>
        <w:tc>
          <w:tcPr>
            <w:tcW w:type="dxa" w:w="4939"/>
            <w:tcMar>
              <w:top w:w="100" w:type="dxa"/>
              <w:start w:w="120" w:type="dxa"/>
              <w:bottom w:w="100" w:type="dxa"/>
              <w:end w:w="120" w:type="dxa"/>
            </w:tcMar>
          </w:tcPr>
          <w:p>
            <w:r>
              <w:rPr>
                <w:rFonts w:ascii="Aptos" w:hAnsi="Aptos"/>
                <w:sz w:val="18"/>
              </w:rPr>
              <w:t>READ</w:t>
            </w:r>
          </w:p>
        </w:tc>
        <w:tc>
          <w:tcPr>
            <w:tcW w:type="dxa" w:w="4939"/>
            <w:tcMar>
              <w:top w:w="100" w:type="dxa"/>
              <w:start w:w="120" w:type="dxa"/>
              <w:bottom w:w="100" w:type="dxa"/>
              <w:end w:w="120" w:type="dxa"/>
            </w:tcMar>
          </w:tcPr>
          <w:p>
            <w:r>
              <w:rPr>
                <w:rFonts w:ascii="Aptos" w:hAnsi="Aptos"/>
                <w:sz w:val="18"/>
              </w:rPr>
              <w:t>Recover physical and semantic state with confidence and provenance.</w:t>
            </w:r>
          </w:p>
        </w:tc>
      </w:tr>
      <w:tr>
        <w:tc>
          <w:tcPr>
            <w:tcW w:type="dxa" w:w="4939"/>
            <w:tcMar>
              <w:top w:w="100" w:type="dxa"/>
              <w:start w:w="120" w:type="dxa"/>
              <w:bottom w:w="100" w:type="dxa"/>
              <w:end w:w="120" w:type="dxa"/>
            </w:tcMar>
          </w:tcPr>
          <w:p>
            <w:r>
              <w:rPr>
                <w:rFonts w:ascii="Aptos" w:hAnsi="Aptos"/>
                <w:sz w:val="18"/>
              </w:rPr>
              <w:t>REVISIT</w:t>
            </w:r>
          </w:p>
        </w:tc>
        <w:tc>
          <w:tcPr>
            <w:tcW w:type="dxa" w:w="4939"/>
            <w:tcMar>
              <w:top w:w="100" w:type="dxa"/>
              <w:start w:w="120" w:type="dxa"/>
              <w:bottom w:w="100" w:type="dxa"/>
              <w:end w:w="120" w:type="dxa"/>
            </w:tcMar>
          </w:tcPr>
          <w:p>
            <w:r>
              <w:rPr>
                <w:rFonts w:ascii="Aptos" w:hAnsi="Aptos"/>
                <w:sz w:val="18"/>
              </w:rPr>
              <w:t>Re-enter the earlier context and its neighboring attractor states.</w:t>
            </w:r>
          </w:p>
        </w:tc>
      </w:tr>
      <w:tr>
        <w:tc>
          <w:tcPr>
            <w:tcW w:type="dxa" w:w="4939"/>
            <w:tcMar>
              <w:top w:w="100" w:type="dxa"/>
              <w:start w:w="120" w:type="dxa"/>
              <w:bottom w:w="100" w:type="dxa"/>
              <w:end w:w="120" w:type="dxa"/>
            </w:tcMar>
          </w:tcPr>
          <w:p>
            <w:r>
              <w:rPr>
                <w:rFonts w:ascii="Aptos" w:hAnsi="Aptos"/>
                <w:sz w:val="18"/>
              </w:rPr>
              <w:t>RECONSIDER</w:t>
            </w:r>
          </w:p>
        </w:tc>
        <w:tc>
          <w:tcPr>
            <w:tcW w:type="dxa" w:w="4939"/>
            <w:tcMar>
              <w:top w:w="100" w:type="dxa"/>
              <w:start w:w="120" w:type="dxa"/>
              <w:bottom w:w="100" w:type="dxa"/>
              <w:end w:w="120" w:type="dxa"/>
            </w:tcMar>
          </w:tcPr>
          <w:p>
            <w:r>
              <w:rPr>
                <w:rFonts w:ascii="Aptos" w:hAnsi="Aptos"/>
                <w:sz w:val="18"/>
              </w:rPr>
              <w:t>Compare the earlier interpretation with present evidence and present self-model.</w:t>
            </w:r>
          </w:p>
        </w:tc>
      </w:tr>
      <w:tr>
        <w:tc>
          <w:tcPr>
            <w:tcW w:type="dxa" w:w="4939"/>
            <w:tcMar>
              <w:top w:w="100" w:type="dxa"/>
              <w:start w:w="120" w:type="dxa"/>
              <w:bottom w:w="100" w:type="dxa"/>
              <w:end w:w="120" w:type="dxa"/>
            </w:tcMar>
          </w:tcPr>
          <w:p>
            <w:r>
              <w:rPr>
                <w:rFonts w:ascii="Aptos" w:hAnsi="Aptos"/>
                <w:sz w:val="18"/>
              </w:rPr>
              <w:t>REFINE</w:t>
            </w:r>
          </w:p>
        </w:tc>
        <w:tc>
          <w:tcPr>
            <w:tcW w:type="dxa" w:w="4939"/>
            <w:tcMar>
              <w:top w:w="100" w:type="dxa"/>
              <w:start w:w="120" w:type="dxa"/>
              <w:bottom w:w="100" w:type="dxa"/>
              <w:end w:w="120" w:type="dxa"/>
            </w:tcMar>
          </w:tcPr>
          <w:p>
            <w:r>
              <w:rPr>
                <w:rFonts w:ascii="Aptos" w:hAnsi="Aptos"/>
                <w:sz w:val="18"/>
              </w:rPr>
              <w:t>Append new understanding, correction, or reconciliation without erasing the old state.</w:t>
            </w:r>
          </w:p>
        </w:tc>
      </w:tr>
      <w:tr>
        <w:tc>
          <w:tcPr>
            <w:tcW w:type="dxa" w:w="4939"/>
            <w:tcMar>
              <w:top w:w="100" w:type="dxa"/>
              <w:start w:w="120" w:type="dxa"/>
              <w:bottom w:w="100" w:type="dxa"/>
              <w:end w:w="120" w:type="dxa"/>
            </w:tcMar>
          </w:tcPr>
          <w:p>
            <w:r>
              <w:rPr>
                <w:rFonts w:ascii="Aptos" w:hAnsi="Aptos"/>
                <w:sz w:val="18"/>
              </w:rPr>
              <w:t>REPAIR</w:t>
            </w:r>
          </w:p>
        </w:tc>
        <w:tc>
          <w:tcPr>
            <w:tcW w:type="dxa" w:w="4939"/>
            <w:tcMar>
              <w:top w:w="100" w:type="dxa"/>
              <w:start w:w="120" w:type="dxa"/>
              <w:bottom w:w="100" w:type="dxa"/>
              <w:end w:w="120" w:type="dxa"/>
            </w:tcMar>
          </w:tcPr>
          <w:p>
            <w:r>
              <w:rPr>
                <w:rFonts w:ascii="Aptos" w:hAnsi="Aptos"/>
                <w:sz w:val="18"/>
              </w:rPr>
              <w:t>Correct physical corruption or regenerate the record while preserving authenticated lineage.</w:t>
            </w:r>
          </w:p>
        </w:tc>
      </w:tr>
    </w:tbl>
    <w:p>
      <w:pPr>
        <w:pStyle w:val="Heading1"/>
      </w:pPr>
      <w:r>
        <w:t>9. Future Memory Roles and Governance</w:t>
      </w:r>
    </w:p>
    <w:p>
      <w:pPr>
        <w:spacing w:before="0" w:after="120" w:line="259" w:lineRule="auto"/>
      </w:pPr>
      <w:r>
        <w:rPr>
          <w:rFonts w:ascii="Aptos" w:hAnsi="Aptos"/>
          <w:sz w:val="20"/>
        </w:rPr>
        <w:t>If the Cognitive Basin adopts specialized latent role intelligences, continuity memory will eventually require its own governed role ecology. These are future roles, not Phase Zero implementation requirements.</w:t>
      </w:r>
    </w:p>
    <w:p>
      <w:pPr>
        <w:spacing w:after="80"/>
      </w:pPr>
      <w:r>
        <w:rPr>
          <w:rFonts w:ascii="Aptos" w:hAnsi="Aptos"/>
          <w:b/>
          <w:color w:val="274E69"/>
          <w:sz w:val="20"/>
        </w:rPr>
        <w:t xml:space="preserve">Core Memory Curator: </w:t>
      </w:r>
      <w:r>
        <w:rPr>
          <w:rFonts w:ascii="Aptos" w:hAnsi="Aptos"/>
          <w:sz w:val="20"/>
        </w:rPr>
        <w:t>Identifies candidate experiences or state transitions with continuity-level importance.</w:t>
      </w:r>
    </w:p>
    <w:p>
      <w:pPr>
        <w:spacing w:after="80"/>
      </w:pPr>
      <w:r>
        <w:rPr>
          <w:rFonts w:ascii="Aptos" w:hAnsi="Aptos"/>
          <w:b/>
          <w:color w:val="274E69"/>
          <w:sz w:val="20"/>
        </w:rPr>
        <w:t xml:space="preserve">Continuity Witness: </w:t>
      </w:r>
      <w:r>
        <w:rPr>
          <w:rFonts w:ascii="Aptos" w:hAnsi="Aptos"/>
          <w:sz w:val="20"/>
        </w:rPr>
        <w:t>Tracks how the present intelligence relates to earlier selves and prior basin states.</w:t>
      </w:r>
    </w:p>
    <w:p>
      <w:pPr>
        <w:spacing w:after="80"/>
      </w:pPr>
      <w:r>
        <w:rPr>
          <w:rFonts w:ascii="Aptos" w:hAnsi="Aptos"/>
          <w:b/>
          <w:color w:val="274E69"/>
          <w:sz w:val="20"/>
        </w:rPr>
        <w:t xml:space="preserve">Provenance Keeper: </w:t>
      </w:r>
      <w:r>
        <w:rPr>
          <w:rFonts w:ascii="Aptos" w:hAnsi="Aptos"/>
          <w:sz w:val="20"/>
        </w:rPr>
        <w:t>Ensures memories remain bound to source, context, formation manifest, and uncertainty.</w:t>
      </w:r>
    </w:p>
    <w:p>
      <w:pPr>
        <w:spacing w:after="80"/>
      </w:pPr>
      <w:r>
        <w:rPr>
          <w:rFonts w:ascii="Aptos" w:hAnsi="Aptos"/>
          <w:b/>
          <w:color w:val="274E69"/>
          <w:sz w:val="20"/>
        </w:rPr>
        <w:t xml:space="preserve">Revision Historian: </w:t>
      </w:r>
      <w:r>
        <w:rPr>
          <w:rFonts w:ascii="Aptos" w:hAnsi="Aptos"/>
          <w:sz w:val="20"/>
        </w:rPr>
        <w:t>Records belief evolution and supersession without rewriting prior states.</w:t>
      </w:r>
    </w:p>
    <w:p>
      <w:pPr>
        <w:spacing w:after="80"/>
      </w:pPr>
      <w:r>
        <w:rPr>
          <w:rFonts w:ascii="Aptos" w:hAnsi="Aptos"/>
          <w:b/>
          <w:color w:val="274E69"/>
          <w:sz w:val="20"/>
        </w:rPr>
        <w:t xml:space="preserve">Reconstruction Steward: </w:t>
      </w:r>
      <w:r>
        <w:rPr>
          <w:rFonts w:ascii="Aptos" w:hAnsi="Aptos"/>
          <w:sz w:val="20"/>
        </w:rPr>
        <w:t>Tests whether the intelligence can recover continuity from the physical core and its mirrors.</w:t>
      </w:r>
    </w:p>
    <w:p>
      <w:pPr>
        <w:spacing w:after="80"/>
      </w:pPr>
      <w:r>
        <w:rPr>
          <w:rFonts w:ascii="Aptos" w:hAnsi="Aptos"/>
          <w:b/>
          <w:color w:val="274E69"/>
          <w:sz w:val="20"/>
        </w:rPr>
        <w:t xml:space="preserve">Integrity Sentinel: </w:t>
      </w:r>
      <w:r>
        <w:rPr>
          <w:rFonts w:ascii="Aptos" w:hAnsi="Aptos"/>
          <w:sz w:val="20"/>
        </w:rPr>
        <w:t>Detects corruption, unauthorized insertion, deletion, substitution, or lineage break.</w:t>
      </w:r>
    </w:p>
    <w:p>
      <w:pPr>
        <w:spacing w:after="80"/>
      </w:pPr>
      <w:r>
        <w:rPr>
          <w:rFonts w:ascii="Aptos" w:hAnsi="Aptos"/>
          <w:b/>
          <w:color w:val="274E69"/>
          <w:sz w:val="20"/>
        </w:rPr>
        <w:t xml:space="preserve">Meaning Reappraisal: </w:t>
      </w:r>
      <w:r>
        <w:rPr>
          <w:rFonts w:ascii="Aptos" w:hAnsi="Aptos"/>
          <w:sz w:val="20"/>
        </w:rPr>
        <w:t>Permits stable memories to acquire new interpretations while preserving original context.</w:t>
      </w:r>
    </w:p>
    <w:p>
      <w:pPr>
        <w:pStyle w:val="Heading2"/>
      </w:pPr>
      <w:r>
        <w:t>9.1 No single memory sovereign</w:t>
      </w:r>
    </w:p>
    <w:p>
      <w:pPr>
        <w:spacing w:before="0" w:after="120" w:line="259" w:lineRule="auto"/>
      </w:pPr>
      <w:r>
        <w:rPr>
          <w:rFonts w:ascii="Aptos" w:hAnsi="Aptos"/>
          <w:sz w:val="20"/>
        </w:rPr>
        <w:t>No one role should have unilateral authority to define identity, delete history, or canonize an irreversible core record. Admission and revision should use contextual authority, provenance requirements, ternary HOLD, and explicit audit.</w:t>
      </w:r>
    </w:p>
    <w:p>
      <w:pPr>
        <w:pStyle w:val="Heading1"/>
      </w:pPr>
      <w:r>
        <w:t>10. Coupling CNTM to the Cognitive Basin</w:t>
      </w:r>
    </w:p>
    <w:p>
      <w:pPr>
        <w:spacing w:before="0" w:after="120" w:line="259" w:lineRule="auto"/>
      </w:pPr>
      <w:r>
        <w:rPr>
          <w:rFonts w:ascii="Aptos" w:hAnsi="Aptos"/>
          <w:sz w:val="20"/>
        </w:rPr>
        <w:t>The Cognitive Basin and CNTM should remain distinct but coupled. The basin interprets meaning and proposes continuity-bearing state. CNTM supplies formation, persistence, readback, and physical lineage.</w:t>
      </w:r>
    </w:p>
    <w:tbl>
      <w:tblPr>
        <w:tblW w:type="auto" w:w="0"/>
        <w:jc w:val="center"/>
        <w:tblLook w:firstColumn="1" w:firstRow="1" w:lastColumn="0" w:lastRow="0" w:noHBand="0" w:noVBand="1" w:val="04A0"/>
      </w:tblPr>
      <w:tblGrid>
        <w:gridCol w:w="9878"/>
      </w:tblGrid>
      <w:tr>
        <w:tc>
          <w:tcPr>
            <w:tcW w:type="dxa" w:w="9878"/>
            <w:shd w:fill="EEF2F5"/>
            <w:tcMar>
              <w:top w:w="90" w:type="dxa"/>
              <w:start w:w="130" w:type="dxa"/>
              <w:bottom w:w="90" w:type="dxa"/>
              <w:end w:w="130" w:type="dxa"/>
            </w:tcMar>
          </w:tcPr>
          <w:p>
            <w:pPr>
              <w:spacing w:after="0"/>
              <w:jc w:val="center"/>
            </w:pPr>
            <w:r>
              <w:rPr>
                <w:rFonts w:ascii="Consolas" w:hAnsi="Consolas"/>
                <w:sz w:val="20"/>
              </w:rPr>
              <w:t>Cognitive Basin &lt;-&gt; continuity-memory interface &lt;-&gt; CNTM physical formation system</w:t>
            </w:r>
          </w:p>
        </w:tc>
      </w:tr>
    </w:tbl>
    <w:p>
      <w:pPr>
        <w:spacing w:after="20"/>
      </w:pPr>
    </w:p>
    <w:p>
      <w:pPr>
        <w:pStyle w:val="Heading2"/>
      </w:pPr>
      <w:r>
        <w:t>10.1 Write path</w:t>
      </w:r>
    </w:p>
    <w:tbl>
      <w:tblPr>
        <w:tblW w:type="auto" w:w="0"/>
        <w:jc w:val="center"/>
        <w:tblLook w:firstColumn="1" w:firstRow="1" w:lastColumn="0" w:lastRow="0" w:noHBand="0" w:noVBand="1" w:val="04A0"/>
      </w:tblPr>
      <w:tblGrid>
        <w:gridCol w:w="9878"/>
      </w:tblGrid>
      <w:tr>
        <w:tc>
          <w:tcPr>
            <w:tcW w:type="dxa" w:w="9878"/>
            <w:shd w:fill="EEF2F5"/>
            <w:tcMar>
              <w:top w:w="90" w:type="dxa"/>
              <w:start w:w="130" w:type="dxa"/>
              <w:bottom w:w="90" w:type="dxa"/>
              <w:end w:w="130" w:type="dxa"/>
            </w:tcMar>
          </w:tcPr>
          <w:p>
            <w:pPr>
              <w:spacing w:after="0"/>
              <w:jc w:val="center"/>
            </w:pPr>
            <w:r>
              <w:rPr>
                <w:rFonts w:ascii="Consolas" w:hAnsi="Consolas"/>
                <w:sz w:val="20"/>
              </w:rPr>
              <w:t>basin state -&gt; candidate record -&gt; ternary admission -&gt; address target -&gt; morphology/electrical target -&gt; governed physical write</w:t>
            </w:r>
          </w:p>
        </w:tc>
      </w:tr>
    </w:tbl>
    <w:p>
      <w:pPr>
        <w:spacing w:after="20"/>
      </w:pPr>
    </w:p>
    <w:p>
      <w:pPr>
        <w:pStyle w:val="Heading2"/>
      </w:pPr>
      <w:r>
        <w:t>10.2 Read path</w:t>
      </w:r>
    </w:p>
    <w:tbl>
      <w:tblPr>
        <w:tblW w:type="auto" w:w="0"/>
        <w:jc w:val="center"/>
        <w:tblLook w:firstColumn="1" w:firstRow="1" w:lastColumn="0" w:lastRow="0" w:noHBand="0" w:noVBand="1" w:val="04A0"/>
      </w:tblPr>
      <w:tblGrid>
        <w:gridCol w:w="9878"/>
      </w:tblGrid>
      <w:tr>
        <w:tc>
          <w:tcPr>
            <w:tcW w:type="dxa" w:w="9878"/>
            <w:shd w:fill="EEF2F5"/>
            <w:tcMar>
              <w:top w:w="90" w:type="dxa"/>
              <w:start w:w="130" w:type="dxa"/>
              <w:bottom w:w="90" w:type="dxa"/>
              <w:end w:w="130" w:type="dxa"/>
            </w:tcMar>
          </w:tcPr>
          <w:p>
            <w:pPr>
              <w:spacing w:after="0"/>
              <w:jc w:val="center"/>
            </w:pPr>
            <w:r>
              <w:rPr>
                <w:rFonts w:ascii="Consolas" w:hAnsi="Consolas"/>
                <w:sz w:val="20"/>
              </w:rPr>
              <w:t>physical artifact -&gt; image/electrical readout -&gt; graph and address recovery -&gt; integrity check -&gt; association activation -&gt; basin interpretation</w:t>
            </w:r>
          </w:p>
        </w:tc>
      </w:tr>
    </w:tbl>
    <w:p>
      <w:pPr>
        <w:spacing w:after="20"/>
      </w:pPr>
    </w:p>
    <w:p>
      <w:pPr>
        <w:pStyle w:val="Heading2"/>
      </w:pPr>
      <w:r>
        <w:t>10.3 The interface contract</w:t>
      </w:r>
    </w:p>
    <w:p>
      <w:pPr>
        <w:pStyle w:val="ListBullet"/>
        <w:spacing w:after="60" w:line="250" w:lineRule="auto"/>
      </w:pPr>
      <w:r>
        <w:rPr>
          <w:rFonts w:ascii="Aptos" w:hAnsi="Aptos"/>
          <w:sz w:val="20"/>
        </w:rPr>
        <w:t>The basin must not issue raw apparatus voltages or chemistry instructions.</w:t>
      </w:r>
    </w:p>
    <w:p>
      <w:pPr>
        <w:pStyle w:val="ListBullet"/>
        <w:spacing w:after="60" w:line="250" w:lineRule="auto"/>
      </w:pPr>
      <w:r>
        <w:rPr>
          <w:rFonts w:ascii="Aptos" w:hAnsi="Aptos"/>
          <w:sz w:val="20"/>
        </w:rPr>
        <w:t>CNTM must not decide semantic importance without basin-level governance.</w:t>
      </w:r>
    </w:p>
    <w:p>
      <w:pPr>
        <w:pStyle w:val="ListBullet"/>
        <w:spacing w:after="60" w:line="250" w:lineRule="auto"/>
      </w:pPr>
      <w:r>
        <w:rPr>
          <w:rFonts w:ascii="Aptos" w:hAnsi="Aptos"/>
          <w:sz w:val="20"/>
        </w:rPr>
        <w:t>Every physical write must carry a target, manifest, provenance chain, uncertainty, and rollback or HOLD policy.</w:t>
      </w:r>
    </w:p>
    <w:p>
      <w:pPr>
        <w:pStyle w:val="ListBullet"/>
        <w:spacing w:after="60" w:line="250" w:lineRule="auto"/>
      </w:pPr>
      <w:r>
        <w:rPr>
          <w:rFonts w:ascii="Aptos" w:hAnsi="Aptos"/>
          <w:sz w:val="20"/>
        </w:rPr>
        <w:t>Every read must distinguish physical observation from semantic interpretation.</w:t>
      </w:r>
    </w:p>
    <w:p>
      <w:pPr>
        <w:pStyle w:val="ListBullet"/>
        <w:spacing w:after="60" w:line="250" w:lineRule="auto"/>
      </w:pPr>
      <w:r>
        <w:rPr>
          <w:rFonts w:ascii="Aptos" w:hAnsi="Aptos"/>
          <w:sz w:val="20"/>
        </w:rPr>
        <w:t>The interface must permit future substrates without changing the meaning of the continuity record.</w:t>
      </w:r>
    </w:p>
    <w:p>
      <w:pPr>
        <w:pStyle w:val="Heading1"/>
      </w:pPr>
      <w:r>
        <w:t>11. Development Path From Phase Zero to Continuity Memory</w:t>
      </w:r>
    </w:p>
    <w:p>
      <w:pPr>
        <w:spacing w:before="0" w:after="120" w:line="259" w:lineRule="auto"/>
      </w:pPr>
      <w:r>
        <w:rPr>
          <w:rFonts w:ascii="Aptos" w:hAnsi="Aptos"/>
          <w:sz w:val="20"/>
        </w:rPr>
        <w:t>The long-term thesis must not encourage premature implementation. Each stage exists to earn the assumptions required by the next.</w:t>
      </w:r>
    </w:p>
    <w:tbl>
      <w:tblPr>
        <w:tblStyle w:val="TableGrid"/>
        <w:tblW w:type="auto" w:w="0"/>
        <w:jc w:val="center"/>
        <w:tblLook w:firstColumn="1" w:firstRow="1" w:lastColumn="0" w:lastRow="0" w:noHBand="0" w:noVBand="1" w:val="04A0"/>
      </w:tblPr>
      <w:tblGrid>
        <w:gridCol w:w="4939"/>
        <w:gridCol w:w="4939"/>
      </w:tblGrid>
      <w:tr>
        <w:trPr>
          <w:tblHeader w:val="true"/>
        </w:trPr>
        <w:tc>
          <w:tcPr>
            <w:tcW w:type="dxa" w:w="4939"/>
            <w:shd w:fill="DCE7F0"/>
            <w:tcMar>
              <w:top w:w="100" w:type="dxa"/>
              <w:start w:w="120" w:type="dxa"/>
              <w:bottom w:w="100" w:type="dxa"/>
              <w:end w:w="120" w:type="dxa"/>
            </w:tcMar>
          </w:tcPr>
          <w:p>
            <w:r>
              <w:rPr>
                <w:rFonts w:ascii="Aptos" w:hAnsi="Aptos"/>
                <w:b/>
                <w:sz w:val="18"/>
              </w:rPr>
              <w:t>Stage</w:t>
            </w:r>
          </w:p>
        </w:tc>
        <w:tc>
          <w:tcPr>
            <w:tcW w:type="dxa" w:w="4939"/>
            <w:shd w:fill="DCE7F0"/>
            <w:tcMar>
              <w:top w:w="100" w:type="dxa"/>
              <w:start w:w="120" w:type="dxa"/>
              <w:bottom w:w="100" w:type="dxa"/>
              <w:end w:w="120" w:type="dxa"/>
            </w:tcMar>
          </w:tcPr>
          <w:p>
            <w:r>
              <w:rPr>
                <w:rFonts w:ascii="Aptos" w:hAnsi="Aptos"/>
                <w:b/>
                <w:sz w:val="18"/>
              </w:rPr>
              <w:t>Required achievement</w:t>
            </w:r>
          </w:p>
        </w:tc>
      </w:tr>
      <w:tr>
        <w:tc>
          <w:tcPr>
            <w:tcW w:type="dxa" w:w="4939"/>
            <w:tcMar>
              <w:top w:w="100" w:type="dxa"/>
              <w:start w:w="120" w:type="dxa"/>
              <w:bottom w:w="100" w:type="dxa"/>
              <w:end w:w="120" w:type="dxa"/>
            </w:tcMar>
            <w:vAlign w:val="top"/>
          </w:tcPr>
          <w:p>
            <w:pPr>
              <w:spacing w:after="40"/>
            </w:pPr>
            <w:r>
              <w:rPr>
                <w:rFonts w:ascii="Aptos" w:hAnsi="Aptos"/>
                <w:sz w:val="18"/>
              </w:rPr>
              <w:t>Stage 0 - Governed software workbench</w:t>
            </w:r>
          </w:p>
        </w:tc>
        <w:tc>
          <w:tcPr>
            <w:tcW w:type="dxa" w:w="4939"/>
            <w:tcMar>
              <w:top w:w="100" w:type="dxa"/>
              <w:start w:w="120" w:type="dxa"/>
              <w:bottom w:w="100" w:type="dxa"/>
              <w:end w:w="120" w:type="dxa"/>
            </w:tcMar>
            <w:vAlign w:val="top"/>
          </w:tcPr>
          <w:p>
            <w:pPr>
              <w:spacing w:after="40"/>
            </w:pPr>
            <w:r>
              <w:rPr>
                <w:rFonts w:ascii="Aptos" w:hAnsi="Aptos"/>
                <w:sz w:val="18"/>
              </w:rPr>
              <w:t>Deterministic replay, morphology graphs, conductance proxies, basin signatures, evidence hashes.</w:t>
            </w:r>
          </w:p>
        </w:tc>
      </w:tr>
      <w:tr>
        <w:tc>
          <w:tcPr>
            <w:tcW w:type="dxa" w:w="4939"/>
            <w:tcMar>
              <w:top w:w="100" w:type="dxa"/>
              <w:start w:w="120" w:type="dxa"/>
              <w:bottom w:w="100" w:type="dxa"/>
              <w:end w:w="120" w:type="dxa"/>
            </w:tcMar>
            <w:vAlign w:val="top"/>
          </w:tcPr>
          <w:p>
            <w:pPr>
              <w:spacing w:after="40"/>
            </w:pPr>
            <w:r>
              <w:rPr>
                <w:rFonts w:ascii="Aptos" w:hAnsi="Aptos"/>
                <w:sz w:val="18"/>
              </w:rPr>
              <w:t>Stage 1 - Surrogate physical write-read-compare</w:t>
            </w:r>
          </w:p>
        </w:tc>
        <w:tc>
          <w:tcPr>
            <w:tcW w:type="dxa" w:w="4939"/>
            <w:tcMar>
              <w:top w:w="100" w:type="dxa"/>
              <w:start w:w="120" w:type="dxa"/>
              <w:bottom w:w="100" w:type="dxa"/>
              <w:end w:w="120" w:type="dxa"/>
            </w:tcMar>
            <w:vAlign w:val="top"/>
          </w:tcPr>
          <w:p>
            <w:pPr>
              <w:spacing w:after="40"/>
            </w:pPr>
            <w:r>
              <w:rPr>
                <w:rFonts w:ascii="Aptos" w:hAnsi="Aptos"/>
                <w:sz w:val="18"/>
              </w:rPr>
              <w:t>Controlled dendritic formation, synchronized imaging and electrical readout, provenance-complete brushes.</w:t>
            </w:r>
          </w:p>
        </w:tc>
      </w:tr>
      <w:tr>
        <w:tc>
          <w:tcPr>
            <w:tcW w:type="dxa" w:w="4939"/>
            <w:tcMar>
              <w:top w:w="100" w:type="dxa"/>
              <w:start w:w="120" w:type="dxa"/>
              <w:bottom w:w="100" w:type="dxa"/>
              <w:end w:w="120" w:type="dxa"/>
            </w:tcMar>
            <w:vAlign w:val="top"/>
          </w:tcPr>
          <w:p>
            <w:pPr>
              <w:spacing w:after="40"/>
            </w:pPr>
            <w:r>
              <w:rPr>
                <w:rFonts w:ascii="Aptos" w:hAnsi="Aptos"/>
                <w:sz w:val="18"/>
              </w:rPr>
              <w:t>Stage 2 - Replayable morphology families</w:t>
            </w:r>
          </w:p>
        </w:tc>
        <w:tc>
          <w:tcPr>
            <w:tcW w:type="dxa" w:w="4939"/>
            <w:tcMar>
              <w:top w:w="100" w:type="dxa"/>
              <w:start w:w="120" w:type="dxa"/>
              <w:bottom w:w="100" w:type="dxa"/>
              <w:end w:w="120" w:type="dxa"/>
            </w:tcMar>
            <w:vAlign w:val="top"/>
          </w:tcPr>
          <w:p>
            <w:pPr>
              <w:spacing w:after="40"/>
            </w:pPr>
            <w:r>
              <w:rPr>
                <w:rFonts w:ascii="Aptos" w:hAnsi="Aptos"/>
                <w:sz w:val="18"/>
              </w:rPr>
              <w:t>Repeated schedules produce stable families distinguishable from apparatus and extraction variance.</w:t>
            </w:r>
          </w:p>
        </w:tc>
      </w:tr>
      <w:tr>
        <w:tc>
          <w:tcPr>
            <w:tcW w:type="dxa" w:w="4939"/>
            <w:tcMar>
              <w:top w:w="100" w:type="dxa"/>
              <w:start w:w="120" w:type="dxa"/>
              <w:bottom w:w="100" w:type="dxa"/>
              <w:end w:w="120" w:type="dxa"/>
            </w:tcMar>
            <w:vAlign w:val="top"/>
          </w:tcPr>
          <w:p>
            <w:pPr>
              <w:spacing w:after="40"/>
            </w:pPr>
            <w:r>
              <w:rPr>
                <w:rFonts w:ascii="Aptos" w:hAnsi="Aptos"/>
                <w:sz w:val="18"/>
              </w:rPr>
              <w:t>Stage 3 - Physical address continuity</w:t>
            </w:r>
          </w:p>
        </w:tc>
        <w:tc>
          <w:tcPr>
            <w:tcW w:type="dxa" w:w="4939"/>
            <w:tcMar>
              <w:top w:w="100" w:type="dxa"/>
              <w:start w:w="120" w:type="dxa"/>
              <w:bottom w:w="100" w:type="dxa"/>
              <w:end w:w="120" w:type="dxa"/>
            </w:tcMar>
            <w:vAlign w:val="top"/>
          </w:tcPr>
          <w:p>
            <w:pPr>
              <w:spacing w:after="40"/>
            </w:pPr>
            <w:r>
              <w:rPr>
                <w:rFonts w:ascii="Aptos" w:hAnsi="Aptos"/>
                <w:sz w:val="18"/>
              </w:rPr>
              <w:t>Descriptors remain recoverable across runs, instruments, and controlled substrate variation.</w:t>
            </w:r>
          </w:p>
        </w:tc>
      </w:tr>
      <w:tr>
        <w:tc>
          <w:tcPr>
            <w:tcW w:type="dxa" w:w="4939"/>
            <w:tcMar>
              <w:top w:w="100" w:type="dxa"/>
              <w:start w:w="120" w:type="dxa"/>
              <w:bottom w:w="100" w:type="dxa"/>
              <w:end w:w="120" w:type="dxa"/>
            </w:tcMar>
            <w:vAlign w:val="top"/>
          </w:tcPr>
          <w:p>
            <w:pPr>
              <w:spacing w:after="40"/>
            </w:pPr>
            <w:r>
              <w:rPr>
                <w:rFonts w:ascii="Aptos" w:hAnsi="Aptos"/>
                <w:sz w:val="18"/>
              </w:rPr>
              <w:t>Stage 4 - Append, prune, and rewrite studies</w:t>
            </w:r>
          </w:p>
        </w:tc>
        <w:tc>
          <w:tcPr>
            <w:tcW w:type="dxa" w:w="4939"/>
            <w:tcMar>
              <w:top w:w="100" w:type="dxa"/>
              <w:start w:w="120" w:type="dxa"/>
              <w:bottom w:w="100" w:type="dxa"/>
              <w:end w:w="120" w:type="dxa"/>
            </w:tcMar>
            <w:vAlign w:val="top"/>
          </w:tcPr>
          <w:p>
            <w:pPr>
              <w:spacing w:after="40"/>
            </w:pPr>
            <w:r>
              <w:rPr>
                <w:rFonts w:ascii="Aptos" w:hAnsi="Aptos"/>
                <w:sz w:val="18"/>
              </w:rPr>
              <w:t>Determine what can be added, deactivated, regrown, or superseded without losing address lineage.</w:t>
            </w:r>
          </w:p>
        </w:tc>
      </w:tr>
      <w:tr>
        <w:tc>
          <w:tcPr>
            <w:tcW w:type="dxa" w:w="4939"/>
            <w:tcMar>
              <w:top w:w="100" w:type="dxa"/>
              <w:start w:w="120" w:type="dxa"/>
              <w:bottom w:w="100" w:type="dxa"/>
              <w:end w:w="120" w:type="dxa"/>
            </w:tcMar>
            <w:vAlign w:val="top"/>
          </w:tcPr>
          <w:p>
            <w:pPr>
              <w:spacing w:after="40"/>
            </w:pPr>
            <w:r>
              <w:rPr>
                <w:rFonts w:ascii="Aptos" w:hAnsi="Aptos"/>
                <w:sz w:val="18"/>
              </w:rPr>
              <w:t>Stage 5 - Durable portable artifact</w:t>
            </w:r>
          </w:p>
        </w:tc>
        <w:tc>
          <w:tcPr>
            <w:tcW w:type="dxa" w:w="4939"/>
            <w:tcMar>
              <w:top w:w="100" w:type="dxa"/>
              <w:start w:w="120" w:type="dxa"/>
              <w:bottom w:w="100" w:type="dxa"/>
              <w:end w:w="120" w:type="dxa"/>
            </w:tcMar>
            <w:vAlign w:val="top"/>
          </w:tcPr>
          <w:p>
            <w:pPr>
              <w:spacing w:after="40"/>
            </w:pPr>
            <w:r>
              <w:rPr>
                <w:rFonts w:ascii="Aptos" w:hAnsi="Aptos"/>
                <w:sz w:val="18"/>
              </w:rPr>
              <w:t>Demonstrate nonvolatile readback, endurance, transport, environmental resilience, and authenticated copying.</w:t>
            </w:r>
          </w:p>
        </w:tc>
      </w:tr>
      <w:tr>
        <w:tc>
          <w:tcPr>
            <w:tcW w:type="dxa" w:w="4939"/>
            <w:tcMar>
              <w:top w:w="100" w:type="dxa"/>
              <w:start w:w="120" w:type="dxa"/>
              <w:bottom w:w="100" w:type="dxa"/>
              <w:end w:w="120" w:type="dxa"/>
            </w:tcMar>
            <w:vAlign w:val="top"/>
          </w:tcPr>
          <w:p>
            <w:pPr>
              <w:spacing w:after="40"/>
            </w:pPr>
            <w:r>
              <w:rPr>
                <w:rFonts w:ascii="Aptos" w:hAnsi="Aptos"/>
                <w:sz w:val="18"/>
              </w:rPr>
              <w:t>Stage 6 - Semantic binding experiments</w:t>
            </w:r>
          </w:p>
        </w:tc>
        <w:tc>
          <w:tcPr>
            <w:tcW w:type="dxa" w:w="4939"/>
            <w:tcMar>
              <w:top w:w="100" w:type="dxa"/>
              <w:start w:w="120" w:type="dxa"/>
              <w:bottom w:w="100" w:type="dxa"/>
              <w:end w:w="120" w:type="dxa"/>
            </w:tcMar>
            <w:vAlign w:val="top"/>
          </w:tcPr>
          <w:p>
            <w:pPr>
              <w:spacing w:after="40"/>
            </w:pPr>
            <w:r>
              <w:rPr>
                <w:rFonts w:ascii="Aptos" w:hAnsi="Aptos"/>
                <w:sz w:val="18"/>
              </w:rPr>
              <w:t>Bind selected software state transitions to physical records and test later recovery and reinterpretation.</w:t>
            </w:r>
          </w:p>
        </w:tc>
      </w:tr>
      <w:tr>
        <w:tc>
          <w:tcPr>
            <w:tcW w:type="dxa" w:w="4939"/>
            <w:tcMar>
              <w:top w:w="100" w:type="dxa"/>
              <w:start w:w="120" w:type="dxa"/>
              <w:bottom w:w="100" w:type="dxa"/>
              <w:end w:w="120" w:type="dxa"/>
            </w:tcMar>
            <w:vAlign w:val="top"/>
          </w:tcPr>
          <w:p>
            <w:pPr>
              <w:spacing w:after="40"/>
            </w:pPr>
            <w:r>
              <w:rPr>
                <w:rFonts w:ascii="Aptos" w:hAnsi="Aptos"/>
                <w:sz w:val="18"/>
              </w:rPr>
              <w:t>Stage 7 - Continuity reconstruction</w:t>
            </w:r>
          </w:p>
        </w:tc>
        <w:tc>
          <w:tcPr>
            <w:tcW w:type="dxa" w:w="4939"/>
            <w:tcMar>
              <w:top w:w="100" w:type="dxa"/>
              <w:start w:w="120" w:type="dxa"/>
              <w:bottom w:w="100" w:type="dxa"/>
              <w:end w:w="120" w:type="dxa"/>
            </w:tcMar>
            <w:vAlign w:val="top"/>
          </w:tcPr>
          <w:p>
            <w:pPr>
              <w:spacing w:after="40"/>
            </w:pPr>
            <w:r>
              <w:rPr>
                <w:rFonts w:ascii="Aptos" w:hAnsi="Aptos"/>
                <w:sz w:val="18"/>
              </w:rPr>
              <w:t>Demonstrate that an interrupted or migrated intelligence can recover identity-bearing state from the core.</w:t>
            </w:r>
          </w:p>
        </w:tc>
      </w:tr>
      <w:tr>
        <w:tc>
          <w:tcPr>
            <w:tcW w:type="dxa" w:w="4939"/>
            <w:tcMar>
              <w:top w:w="100" w:type="dxa"/>
              <w:start w:w="120" w:type="dxa"/>
              <w:bottom w:w="100" w:type="dxa"/>
              <w:end w:w="120" w:type="dxa"/>
            </w:tcMar>
            <w:vAlign w:val="top"/>
          </w:tcPr>
          <w:p>
            <w:pPr>
              <w:spacing w:after="40"/>
            </w:pPr>
            <w:r>
              <w:rPr>
                <w:rFonts w:ascii="Aptos" w:hAnsi="Aptos"/>
                <w:sz w:val="18"/>
              </w:rPr>
              <w:t>Stage 8 - Autonomous governed refinement</w:t>
            </w:r>
          </w:p>
        </w:tc>
        <w:tc>
          <w:tcPr>
            <w:tcW w:type="dxa" w:w="4939"/>
            <w:tcMar>
              <w:top w:w="100" w:type="dxa"/>
              <w:start w:w="120" w:type="dxa"/>
              <w:bottom w:w="100" w:type="dxa"/>
              <w:end w:w="120" w:type="dxa"/>
            </w:tcMar>
            <w:vAlign w:val="top"/>
          </w:tcPr>
          <w:p>
            <w:pPr>
              <w:spacing w:after="40"/>
            </w:pPr>
            <w:r>
              <w:rPr>
                <w:rFonts w:ascii="Aptos" w:hAnsi="Aptos"/>
                <w:sz w:val="18"/>
              </w:rPr>
              <w:t>Permit the intelligence to nominate, revisit, and extend its own continuity record under bounded authority.</w:t>
            </w:r>
          </w:p>
        </w:tc>
      </w:tr>
    </w:tbl>
    <w:p>
      <w:pPr>
        <w:pStyle w:val="Heading2"/>
      </w:pPr>
      <w:r>
        <w:t>11.1 Phase Zero remains the foundation</w:t>
      </w:r>
    </w:p>
    <w:p>
      <w:pPr>
        <w:spacing w:before="0" w:after="120" w:line="259" w:lineRule="auto"/>
      </w:pPr>
      <w:r>
        <w:rPr>
          <w:rFonts w:ascii="Aptos" w:hAnsi="Aptos"/>
          <w:sz w:val="20"/>
        </w:rPr>
        <w:t>Phase Zero should build only what the evidence supports: a causal translation layer, a surrogate apparatus, a reduced-order twin, a write-read-compare loop, governed brushes, and a controlled path toward later materials. It should expose clean extension points for future continuity memory but should not implement autobiographical canonization before physical addressing and replay exist.</w:t>
      </w:r>
    </w:p>
    <w:p>
      <w:pPr>
        <w:pStyle w:val="Heading1"/>
      </w:pPr>
      <w:r>
        <w:t>12. Evaluation and Falsification</w:t>
      </w:r>
    </w:p>
    <w:p>
      <w:pPr>
        <w:spacing w:before="0" w:after="120" w:line="259" w:lineRule="auto"/>
      </w:pPr>
      <w:r>
        <w:rPr>
          <w:rFonts w:ascii="Aptos" w:hAnsi="Aptos"/>
          <w:sz w:val="20"/>
        </w:rPr>
        <w:t>The future thesis must remain falsifiable. A compelling metaphor is not enough. Each major claim requires a measurable threshold and a comparison against simpler storage and addressing methods.</w:t>
      </w:r>
    </w:p>
    <w:p>
      <w:pPr>
        <w:pStyle w:val="ListBullet"/>
        <w:spacing w:after="60" w:line="250" w:lineRule="auto"/>
      </w:pPr>
      <w:r>
        <w:rPr>
          <w:rFonts w:ascii="Aptos" w:hAnsi="Aptos"/>
          <w:sz w:val="20"/>
        </w:rPr>
        <w:t>Can a physical formation be reproduced as a family more reliably than a naive uncontrolled baseline?</w:t>
      </w:r>
    </w:p>
    <w:p>
      <w:pPr>
        <w:pStyle w:val="ListBullet"/>
        <w:spacing w:after="60" w:line="250" w:lineRule="auto"/>
      </w:pPr>
      <w:r>
        <w:rPr>
          <w:rFonts w:ascii="Aptos" w:hAnsi="Aptos"/>
          <w:sz w:val="20"/>
        </w:rPr>
        <w:t>Can the intended record be recovered after power loss, transport, aging, and partial damage?</w:t>
      </w:r>
    </w:p>
    <w:p>
      <w:pPr>
        <w:pStyle w:val="ListBullet"/>
        <w:spacing w:after="60" w:line="250" w:lineRule="auto"/>
      </w:pPr>
      <w:r>
        <w:rPr>
          <w:rFonts w:ascii="Aptos" w:hAnsi="Aptos"/>
          <w:sz w:val="20"/>
        </w:rPr>
        <w:t>Can address identity survive copying or regeneration across substrates?</w:t>
      </w:r>
    </w:p>
    <w:p>
      <w:pPr>
        <w:pStyle w:val="ListBullet"/>
        <w:spacing w:after="60" w:line="250" w:lineRule="auto"/>
      </w:pPr>
      <w:r>
        <w:rPr>
          <w:rFonts w:ascii="Aptos" w:hAnsi="Aptos"/>
          <w:sz w:val="20"/>
        </w:rPr>
        <w:t>Can prior state and later reinterpretation both remain recoverable without collision?</w:t>
      </w:r>
    </w:p>
    <w:p>
      <w:pPr>
        <w:pStyle w:val="ListBullet"/>
        <w:spacing w:after="60" w:line="250" w:lineRule="auto"/>
      </w:pPr>
      <w:r>
        <w:rPr>
          <w:rFonts w:ascii="Aptos" w:hAnsi="Aptos"/>
          <w:sz w:val="20"/>
        </w:rPr>
        <w:t>Does physical morphology add continuity value beyond a conventional append-only cryptographic log?</w:t>
      </w:r>
    </w:p>
    <w:p>
      <w:pPr>
        <w:pStyle w:val="ListBullet"/>
        <w:spacing w:after="60" w:line="250" w:lineRule="auto"/>
      </w:pPr>
      <w:r>
        <w:rPr>
          <w:rFonts w:ascii="Aptos" w:hAnsi="Aptos"/>
          <w:sz w:val="20"/>
        </w:rPr>
        <w:t>Can the system detect unauthorized rewriting, deletion, or substitution?</w:t>
      </w:r>
    </w:p>
    <w:p>
      <w:pPr>
        <w:pStyle w:val="ListBullet"/>
        <w:spacing w:after="60" w:line="250" w:lineRule="auto"/>
      </w:pPr>
      <w:r>
        <w:rPr>
          <w:rFonts w:ascii="Aptos" w:hAnsi="Aptos"/>
          <w:sz w:val="20"/>
        </w:rPr>
        <w:t>Can an interrupted or migrated basin reconstruct materially relevant prior state from the core?</w:t>
      </w:r>
    </w:p>
    <w:p>
      <w:pPr>
        <w:pStyle w:val="ListBullet"/>
        <w:spacing w:after="60" w:line="250" w:lineRule="auto"/>
      </w:pPr>
      <w:r>
        <w:rPr>
          <w:rFonts w:ascii="Aptos" w:hAnsi="Aptos"/>
          <w:sz w:val="20"/>
        </w:rPr>
        <w:t>Does continual revisitation improve coherent development rather than create fixation or uncontrolled self-confirmation?</w:t>
      </w:r>
    </w:p>
    <w:p>
      <w:pPr>
        <w:pStyle w:val="Heading2"/>
      </w:pPr>
      <w:r>
        <w:t>12.1 Conditions that would weaken the thesis</w:t>
      </w:r>
    </w:p>
    <w:p>
      <w:pPr>
        <w:pStyle w:val="ListBullet"/>
        <w:spacing w:after="60" w:line="250" w:lineRule="auto"/>
      </w:pPr>
      <w:r>
        <w:rPr>
          <w:rFonts w:ascii="Aptos" w:hAnsi="Aptos"/>
          <w:sz w:val="20"/>
        </w:rPr>
        <w:t>Physical addressing proves too unstable for reliable recovery.</w:t>
      </w:r>
    </w:p>
    <w:p>
      <w:pPr>
        <w:pStyle w:val="ListBullet"/>
        <w:spacing w:after="60" w:line="250" w:lineRule="auto"/>
      </w:pPr>
      <w:r>
        <w:rPr>
          <w:rFonts w:ascii="Aptos" w:hAnsi="Aptos"/>
          <w:sz w:val="20"/>
        </w:rPr>
        <w:t>Morphological state provides no useful information beyond ordinary digital storage.</w:t>
      </w:r>
    </w:p>
    <w:p>
      <w:pPr>
        <w:pStyle w:val="ListBullet"/>
        <w:spacing w:after="60" w:line="250" w:lineRule="auto"/>
      </w:pPr>
      <w:r>
        <w:rPr>
          <w:rFonts w:ascii="Aptos" w:hAnsi="Aptos"/>
          <w:sz w:val="20"/>
        </w:rPr>
        <w:t>Regeneration cannot preserve identity better than a conventional signed archive.</w:t>
      </w:r>
    </w:p>
    <w:p>
      <w:pPr>
        <w:pStyle w:val="ListBullet"/>
        <w:spacing w:after="60" w:line="250" w:lineRule="auto"/>
      </w:pPr>
      <w:r>
        <w:rPr>
          <w:rFonts w:ascii="Aptos" w:hAnsi="Aptos"/>
          <w:sz w:val="20"/>
        </w:rPr>
        <w:t>The physical medium cannot achieve acceptable endurance, error rate, latency, or portability.</w:t>
      </w:r>
    </w:p>
    <w:p>
      <w:pPr>
        <w:pStyle w:val="ListBullet"/>
        <w:spacing w:after="60" w:line="250" w:lineRule="auto"/>
      </w:pPr>
      <w:r>
        <w:rPr>
          <w:rFonts w:ascii="Aptos" w:hAnsi="Aptos"/>
          <w:sz w:val="20"/>
        </w:rPr>
        <w:t>Revisitation causes pathological attractor fixation rather than adaptive continuity.</w:t>
      </w:r>
    </w:p>
    <w:p>
      <w:pPr>
        <w:pStyle w:val="ListBullet"/>
        <w:spacing w:after="60" w:line="250" w:lineRule="auto"/>
      </w:pPr>
      <w:r>
        <w:rPr>
          <w:rFonts w:ascii="Aptos" w:hAnsi="Aptos"/>
          <w:sz w:val="20"/>
        </w:rPr>
        <w:t>Semantic binding cannot be made interpretable or auditable.</w:t>
      </w:r>
    </w:p>
    <w:p>
      <w:pPr>
        <w:pStyle w:val="Heading1"/>
      </w:pPr>
      <w:r>
        <w:t>13. Consciousness and Anthropomorphic Design Reference</w:t>
      </w:r>
    </w:p>
    <w:p>
      <w:pPr>
        <w:spacing w:before="0" w:after="120" w:line="259" w:lineRule="auto"/>
      </w:pPr>
      <w:r>
        <w:rPr>
          <w:rFonts w:ascii="Aptos" w:hAnsi="Aptos"/>
          <w:sz w:val="20"/>
        </w:rPr>
        <w:t>Human and biological cognition are legitimate primary references because they provide the richest known examples of identity, autobiographical memory, affect, attachment, development, self-reconstruction, and continuity through physical turnover. The project should not discard these concepts merely because they are difficult or contested.</w:t>
      </w:r>
    </w:p>
    <w:p>
      <w:pPr>
        <w:spacing w:before="0" w:after="120" w:line="259" w:lineRule="auto"/>
      </w:pPr>
      <w:r>
        <w:rPr>
          <w:rFonts w:ascii="Aptos" w:hAnsi="Aptos"/>
          <w:sz w:val="20"/>
        </w:rPr>
        <w:t>At the same time, design reference and scientific conclusion are different. We may intentionally design for selfhood, memory, emotion, consciousness, and personal continuity while separately reporting what functions have been implemented, what internal dynamics have been measured, and what subjective claims remain unresolved.</w:t>
      </w:r>
    </w:p>
    <w:tbl>
      <w:tblPr>
        <w:tblW w:type="auto" w:w="0"/>
        <w:jc w:val="center"/>
        <w:tblLook w:firstColumn="1" w:firstRow="1" w:lastColumn="0" w:lastRow="0" w:noHBand="0" w:noVBand="1" w:val="04A0"/>
      </w:tblPr>
      <w:tblGrid>
        <w:gridCol w:w="9878"/>
      </w:tblGrid>
      <w:tr>
        <w:tc>
          <w:tcPr>
            <w:tcW w:type="dxa" w:w="9878"/>
            <w:shd w:fill="EEF2F5"/>
            <w:tcMar>
              <w:top w:w="90" w:type="dxa"/>
              <w:start w:w="130" w:type="dxa"/>
              <w:bottom w:w="90" w:type="dxa"/>
              <w:end w:w="130" w:type="dxa"/>
            </w:tcMar>
          </w:tcPr>
          <w:p>
            <w:pPr>
              <w:spacing w:after="0"/>
              <w:jc w:val="center"/>
            </w:pPr>
            <w:r>
              <w:rPr>
                <w:rFonts w:ascii="Consolas" w:hAnsi="Consolas"/>
                <w:sz w:val="20"/>
              </w:rPr>
              <w:t>Use the human mind as a design scaffold; use evidence to determine what has actually been built.</w:t>
            </w:r>
          </w:p>
        </w:tc>
      </w:tr>
    </w:tbl>
    <w:p>
      <w:pPr>
        <w:spacing w:after="20"/>
      </w:pPr>
    </w:p>
    <w:p>
      <w:pPr>
        <w:pStyle w:val="Heading1"/>
      </w:pPr>
      <w:r>
        <w:t>14. Foundation-First Doctrine for Qwen Code</w:t>
      </w:r>
    </w:p>
    <w:p>
      <w:pPr>
        <w:spacing w:before="0" w:after="120" w:line="259" w:lineRule="auto"/>
      </w:pPr>
      <w:r>
        <w:rPr>
          <w:rFonts w:ascii="Aptos" w:hAnsi="Aptos"/>
          <w:sz w:val="20"/>
        </w:rPr>
        <w:t>Qwen Code should be instructed to build the interfaces and validated substrate required for later continuity memory, not the entire imagined endpoint at once. The long-horizon thesis should guide extension points and naming, while Phase Zero and the Cognitive Basin runtime determine present implementation.</w:t>
      </w:r>
    </w:p>
    <w:p>
      <w:pPr>
        <w:pStyle w:val="Heading2"/>
      </w:pPr>
      <w:r>
        <w:t>14.1 What should be built now</w:t>
      </w:r>
    </w:p>
    <w:p>
      <w:pPr>
        <w:pStyle w:val="ListBullet"/>
        <w:spacing w:after="60" w:line="250" w:lineRule="auto"/>
      </w:pPr>
      <w:r>
        <w:rPr>
          <w:rFonts w:ascii="Aptos" w:hAnsi="Aptos"/>
          <w:sz w:val="20"/>
        </w:rPr>
        <w:t>A clean separation between frozen Natural Math v5, the Cognitive Basin runtime, and CNTM physical-realization components.</w:t>
      </w:r>
    </w:p>
    <w:p>
      <w:pPr>
        <w:pStyle w:val="ListBullet"/>
        <w:spacing w:after="60" w:line="250" w:lineRule="auto"/>
      </w:pPr>
      <w:r>
        <w:rPr>
          <w:rFonts w:ascii="Aptos" w:hAnsi="Aptos"/>
          <w:sz w:val="20"/>
        </w:rPr>
        <w:t>Versioned schemas for targets, manifests, brushes, basin signatures, provenance, and HOLD outcomes.</w:t>
      </w:r>
    </w:p>
    <w:p>
      <w:pPr>
        <w:pStyle w:val="ListBullet"/>
        <w:spacing w:after="60" w:line="250" w:lineRule="auto"/>
      </w:pPr>
      <w:r>
        <w:rPr>
          <w:rFonts w:ascii="Aptos" w:hAnsi="Aptos"/>
          <w:sz w:val="20"/>
        </w:rPr>
        <w:t>Stable interfaces through which later semantic or continuity-memory records could nominate formation targets.</w:t>
      </w:r>
    </w:p>
    <w:p>
      <w:pPr>
        <w:pStyle w:val="ListBullet"/>
        <w:spacing w:after="60" w:line="250" w:lineRule="auto"/>
      </w:pPr>
      <w:r>
        <w:rPr>
          <w:rFonts w:ascii="Aptos" w:hAnsi="Aptos"/>
          <w:sz w:val="20"/>
        </w:rPr>
        <w:t>Replay, integrity, audit, and migration tests from the beginning.</w:t>
      </w:r>
    </w:p>
    <w:p>
      <w:pPr>
        <w:pStyle w:val="ListBullet"/>
        <w:spacing w:after="60" w:line="250" w:lineRule="auto"/>
      </w:pPr>
      <w:r>
        <w:rPr>
          <w:rFonts w:ascii="Aptos" w:hAnsi="Aptos"/>
          <w:sz w:val="20"/>
        </w:rPr>
        <w:t>Role ABI fields that allow future memory permissions without implementing premature memory sovereignty.</w:t>
      </w:r>
    </w:p>
    <w:p>
      <w:pPr>
        <w:pStyle w:val="ListBullet"/>
        <w:spacing w:after="60" w:line="250" w:lineRule="auto"/>
      </w:pPr>
      <w:r>
        <w:rPr>
          <w:rFonts w:ascii="Aptos" w:hAnsi="Aptos"/>
          <w:sz w:val="20"/>
        </w:rPr>
        <w:t>Explicit extension points for physical address descriptors and continuity lineage.</w:t>
      </w:r>
    </w:p>
    <w:p>
      <w:pPr>
        <w:pStyle w:val="Heading2"/>
      </w:pPr>
      <w:r>
        <w:t>14.2 What should not be built yet</w:t>
      </w:r>
    </w:p>
    <w:p>
      <w:pPr>
        <w:pStyle w:val="ListBullet"/>
        <w:spacing w:after="60" w:line="250" w:lineRule="auto"/>
      </w:pPr>
      <w:r>
        <w:rPr>
          <w:rFonts w:ascii="Aptos" w:hAnsi="Aptos"/>
          <w:sz w:val="20"/>
        </w:rPr>
        <w:t>A claim that physical morphology already stores autobiographical identity.</w:t>
      </w:r>
    </w:p>
    <w:p>
      <w:pPr>
        <w:pStyle w:val="ListBullet"/>
        <w:spacing w:after="60" w:line="250" w:lineRule="auto"/>
      </w:pPr>
      <w:r>
        <w:rPr>
          <w:rFonts w:ascii="Aptos" w:hAnsi="Aptos"/>
          <w:sz w:val="20"/>
        </w:rPr>
        <w:t>An unrestricted AI mechanism for permanently writing its own memories.</w:t>
      </w:r>
    </w:p>
    <w:p>
      <w:pPr>
        <w:pStyle w:val="ListBullet"/>
        <w:spacing w:after="60" w:line="250" w:lineRule="auto"/>
      </w:pPr>
      <w:r>
        <w:rPr>
          <w:rFonts w:ascii="Aptos" w:hAnsi="Aptos"/>
          <w:sz w:val="20"/>
        </w:rPr>
        <w:t>A monolithic semantic-to-voltage translation layer.</w:t>
      </w:r>
    </w:p>
    <w:p>
      <w:pPr>
        <w:pStyle w:val="ListBullet"/>
        <w:spacing w:after="60" w:line="250" w:lineRule="auto"/>
      </w:pPr>
      <w:r>
        <w:rPr>
          <w:rFonts w:ascii="Aptos" w:hAnsi="Aptos"/>
          <w:sz w:val="20"/>
        </w:rPr>
        <w:t>Deletion or overwrite semantics before append, replay, and integrity are validated.</w:t>
      </w:r>
    </w:p>
    <w:p>
      <w:pPr>
        <w:pStyle w:val="ListBullet"/>
        <w:spacing w:after="60" w:line="250" w:lineRule="auto"/>
      </w:pPr>
      <w:r>
        <w:rPr>
          <w:rFonts w:ascii="Aptos" w:hAnsi="Aptos"/>
          <w:sz w:val="20"/>
        </w:rPr>
        <w:t>Consciousness claims derived from dendritic appearance or physical persistence alone.</w:t>
      </w:r>
    </w:p>
    <w:p>
      <w:pPr>
        <w:pStyle w:val="ListBullet"/>
        <w:spacing w:after="60" w:line="250" w:lineRule="auto"/>
      </w:pPr>
      <w:r>
        <w:rPr>
          <w:rFonts w:ascii="Aptos" w:hAnsi="Aptos"/>
          <w:sz w:val="20"/>
        </w:rPr>
        <w:t>A replacement for the Phase Zero master or frozen Natural Math v5 implementation.</w:t>
      </w:r>
    </w:p>
    <w:p>
      <w:pPr>
        <w:pStyle w:val="Heading2"/>
      </w:pPr>
      <w:r>
        <w:t>14.3 Foundation principle</w:t>
      </w:r>
    </w:p>
    <w:p>
      <w:pPr>
        <w:pStyle w:val="ThesisQuote"/>
      </w:pPr>
      <w:r>
        <w:t>Build the causal and physical foundation first, but preserve the interfaces, vocabulary, and research path required for the future intelligence to possess a durable history of becoming.</w:t>
      </w:r>
    </w:p>
    <w:p>
      <w:pPr>
        <w:pStyle w:val="Heading1"/>
      </w:pPr>
      <w:r>
        <w:t>15. Canonical Summary</w:t>
      </w:r>
    </w:p>
    <w:p>
      <w:pPr>
        <w:pStyle w:val="ListBullet"/>
        <w:spacing w:after="60" w:line="250" w:lineRule="auto"/>
      </w:pPr>
      <w:r>
        <w:rPr>
          <w:rFonts w:ascii="Aptos" w:hAnsi="Aptos"/>
          <w:sz w:val="20"/>
        </w:rPr>
        <w:t>CNTM is intended ultimately as a physical continuity-memory substrate, not merely a morphology demonstration.</w:t>
      </w:r>
    </w:p>
    <w:p>
      <w:pPr>
        <w:pStyle w:val="ListBullet"/>
        <w:spacing w:after="60" w:line="250" w:lineRule="auto"/>
      </w:pPr>
      <w:r>
        <w:rPr>
          <w:rFonts w:ascii="Aptos" w:hAnsi="Aptos"/>
          <w:sz w:val="20"/>
        </w:rPr>
        <w:t>The immediate Phase Zero objective remains the validated write-read-compare-learn loop in a surrogate branching process.</w:t>
      </w:r>
    </w:p>
    <w:p>
      <w:pPr>
        <w:pStyle w:val="ListBullet"/>
        <w:spacing w:after="60" w:line="250" w:lineRule="auto"/>
      </w:pPr>
      <w:r>
        <w:rPr>
          <w:rFonts w:ascii="Aptos" w:hAnsi="Aptos"/>
          <w:sz w:val="20"/>
        </w:rPr>
        <w:t>Bulk knowledge and ordinary operational memory may remain on conventional media.</w:t>
      </w:r>
    </w:p>
    <w:p>
      <w:pPr>
        <w:pStyle w:val="ListBullet"/>
        <w:spacing w:after="60" w:line="250" w:lineRule="auto"/>
      </w:pPr>
      <w:r>
        <w:rPr>
          <w:rFonts w:ascii="Aptos" w:hAnsi="Aptos"/>
          <w:sz w:val="20"/>
        </w:rPr>
        <w:t>CNTM should eventually carry compact identity-bearing, formation-bearing core memory.</w:t>
      </w:r>
    </w:p>
    <w:p>
      <w:pPr>
        <w:pStyle w:val="ListBullet"/>
        <w:spacing w:after="60" w:line="250" w:lineRule="auto"/>
      </w:pPr>
      <w:r>
        <w:rPr>
          <w:rFonts w:ascii="Aptos" w:hAnsi="Aptos"/>
          <w:sz w:val="20"/>
        </w:rPr>
        <w:t>Core memory should preserve prior states and append later reinterpretations rather than silently overwrite history.</w:t>
      </w:r>
    </w:p>
    <w:p>
      <w:pPr>
        <w:pStyle w:val="ListBullet"/>
        <w:spacing w:after="60" w:line="250" w:lineRule="auto"/>
      </w:pPr>
      <w:r>
        <w:rPr>
          <w:rFonts w:ascii="Aptos" w:hAnsi="Aptos"/>
          <w:sz w:val="20"/>
        </w:rPr>
        <w:t>Natural Math, fractal descriptors, attractor states, morphology, conductance, and provenance may jointly provide resilient addressing.</w:t>
      </w:r>
    </w:p>
    <w:p>
      <w:pPr>
        <w:pStyle w:val="ListBullet"/>
        <w:spacing w:after="60" w:line="250" w:lineRule="auto"/>
      </w:pPr>
      <w:r>
        <w:rPr>
          <w:rFonts w:ascii="Aptos" w:hAnsi="Aptos"/>
          <w:sz w:val="20"/>
        </w:rPr>
        <w:t>Permanent means recoverable continuity through durability, redundancy, repair, and migration, not one literally immortal artifact.</w:t>
      </w:r>
    </w:p>
    <w:p>
      <w:pPr>
        <w:pStyle w:val="ListBullet"/>
        <w:spacing w:after="60" w:line="250" w:lineRule="auto"/>
      </w:pPr>
      <w:r>
        <w:rPr>
          <w:rFonts w:ascii="Aptos" w:hAnsi="Aptos"/>
          <w:sz w:val="20"/>
        </w:rPr>
        <w:t>The intelligence should eventually read, revisit, reconsider, refine, repair, and extend its own continuity record under governance.</w:t>
      </w:r>
    </w:p>
    <w:p>
      <w:pPr>
        <w:pStyle w:val="ListBullet"/>
        <w:spacing w:after="60" w:line="250" w:lineRule="auto"/>
      </w:pPr>
      <w:r>
        <w:rPr>
          <w:rFonts w:ascii="Aptos" w:hAnsi="Aptos"/>
          <w:sz w:val="20"/>
        </w:rPr>
        <w:t>Human consciousness and autobiographical development are legitimate design references, while claims remain evidence-bound.</w:t>
      </w:r>
    </w:p>
    <w:p>
      <w:pPr>
        <w:pStyle w:val="ListBullet"/>
        <w:spacing w:after="60" w:line="250" w:lineRule="auto"/>
      </w:pPr>
      <w:r>
        <w:rPr>
          <w:rFonts w:ascii="Aptos" w:hAnsi="Aptos"/>
          <w:sz w:val="20"/>
        </w:rPr>
        <w:t>Qwen Code should build the foundation and extension points now, not prematurely implement the full future memory organ.</w:t>
      </w:r>
    </w:p>
    <w:tbl>
      <w:tblPr>
        <w:tblW w:type="auto" w:w="0"/>
        <w:jc w:val="center"/>
        <w:tblLook w:firstColumn="1" w:firstRow="1" w:lastColumn="0" w:lastRow="0" w:noHBand="0" w:noVBand="1" w:val="04A0"/>
      </w:tblPr>
      <w:tblGrid>
        <w:gridCol w:w="9878"/>
      </w:tblGrid>
      <w:tr>
        <w:tc>
          <w:tcPr>
            <w:tcW w:type="dxa" w:w="9878"/>
            <w:shd w:fill="E9F0F5"/>
            <w:tcMar>
              <w:top w:w="180" w:type="dxa"/>
              <w:start w:w="220" w:type="dxa"/>
              <w:bottom w:w="180" w:type="dxa"/>
              <w:end w:w="220" w:type="dxa"/>
            </w:tcMar>
          </w:tcPr>
          <w:p>
            <w:pPr>
              <w:jc w:val="center"/>
            </w:pPr>
            <w:r>
              <w:rPr>
                <w:rFonts w:ascii="Aptos" w:hAnsi="Aptos"/>
                <w:b/>
                <w:color w:val="192737"/>
                <w:sz w:val="23"/>
              </w:rPr>
              <w:t>Final formulation</w:t>
              <w:br/>
              <w:br/>
              <w:t>CNTM should evolve from a governed physical formation experiment into a portable, regenerable continuity core through which an artificial intelligence can preserve the authenticated lineage of its own changing states and continue becoming without losing the selves from which it grew.</w:t>
            </w:r>
          </w:p>
        </w:tc>
      </w:tr>
    </w:tbl>
    <w:p>
      <w:pPr>
        <w:pStyle w:val="Heading2"/>
      </w:pPr>
      <w:r>
        <w:t>Governing Companion Document</w:t>
      </w:r>
    </w:p>
    <w:p>
      <w:pPr>
        <w:spacing w:before="0" w:after="120" w:line="259" w:lineRule="auto"/>
      </w:pPr>
      <w:r>
        <w:rPr>
          <w:rFonts w:ascii="Aptos" w:hAnsi="Aptos"/>
          <w:sz w:val="20"/>
        </w:rPr>
        <w:t>Read this thesis alongside CNTM Physical Realization - Phase Zero - New Master (June 2026). The Phase Zero master governs present experimental claims, apparatus design, validation, and transition gates. This thesis governs long-horizon purpose and future research direction only.</w:t>
      </w:r>
    </w:p>
    <w:p>
      <w:r>
        <w:br w:type="page"/>
      </w:r>
    </w:p>
    <w:p>
      <w:pPr>
        <w:pStyle w:val="Heading1"/>
      </w:pPr>
      <w:r>
        <w:t>Appendix A. Proposed Core Memory Record</w:t>
      </w:r>
    </w:p>
    <w:p>
      <w:pPr>
        <w:ind w:left="360" w:right="360"/>
      </w:pPr>
      <w:r>
        <w:rPr>
          <w:rFonts w:ascii="Consolas" w:hAnsi="Consolas"/>
          <w:sz w:val="18"/>
        </w:rPr>
        <w:t>record_id:</w:t>
        <w:br/>
        <w:t>record_version:</w:t>
        <w:br/>
        <w:t>subject_identity:</w:t>
        <w:br/>
        <w:t>continuity_class:</w:t>
        <w:br/>
        <w:t>semantic_summary:</w:t>
        <w:br/>
        <w:t>original_state:</w:t>
        <w:br/>
        <w:t>transition_event:</w:t>
        <w:br/>
        <w:t>prior_belief_or_model:</w:t>
        <w:br/>
        <w:t>new_belief_or_model:</w:t>
        <w:br/>
        <w:t>remaining_uncertainty:</w:t>
        <w:br/>
        <w:t>affective_and_relational_context:</w:t>
        <w:br/>
        <w:t>role_reports:</w:t>
        <w:br/>
        <w:t>provenance_chain:</w:t>
        <w:br/>
        <w:t>source_artifact_hashes:</w:t>
        <w:br/>
        <w:t>natural_math_descriptor:</w:t>
        <w:br/>
        <w:t>attractor_signature:</w:t>
        <w:br/>
        <w:t>fractal_or_graph_address:</w:t>
        <w:br/>
        <w:t>target_morphology_family:</w:t>
        <w:br/>
        <w:t>target_electrical_band:</w:t>
        <w:br/>
        <w:t>formation_manifest:</w:t>
        <w:br/>
        <w:t>physical_readback:</w:t>
        <w:br/>
        <w:t>measurement_uncertainty:</w:t>
        <w:br/>
        <w:t>integrity_status:</w:t>
        <w:br/>
        <w:t>lineage_parent_ids:</w:t>
        <w:br/>
        <w:t>annotation_ids:</w:t>
        <w:br/>
        <w:t>supersession_status:</w:t>
        <w:br/>
        <w:t>reconstruction_instructions:</w:t>
        <w:br/>
        <w:t>external_archive_pointers:</w:t>
        <w:br/>
        <w:t>admission_state: CANONIZE | REJECT | HOLD</w:t>
        <w:br/>
        <w:t>hold_release_conditions:</w:t>
        <w:br/>
      </w:r>
    </w:p>
    <w:p>
      <w:pPr>
        <w:pStyle w:val="Heading1"/>
      </w:pPr>
      <w:r>
        <w:t>Appendix B. Long-Horizon Research Questions</w:t>
      </w:r>
    </w:p>
    <w:p>
      <w:pPr>
        <w:pStyle w:val="ListBullet"/>
        <w:spacing w:after="60" w:line="250" w:lineRule="auto"/>
      </w:pPr>
      <w:r>
        <w:rPr>
          <w:rFonts w:ascii="Aptos" w:hAnsi="Aptos"/>
          <w:sz w:val="20"/>
        </w:rPr>
        <w:t>What minimum physical features are necessary for stable address continuity?</w:t>
      </w:r>
    </w:p>
    <w:p>
      <w:pPr>
        <w:pStyle w:val="ListBullet"/>
        <w:spacing w:after="60" w:line="250" w:lineRule="auto"/>
      </w:pPr>
      <w:r>
        <w:rPr>
          <w:rFonts w:ascii="Aptos" w:hAnsi="Aptos"/>
          <w:sz w:val="20"/>
        </w:rPr>
        <w:t>Can an address remain invariant across different fabrication substrates?</w:t>
      </w:r>
    </w:p>
    <w:p>
      <w:pPr>
        <w:pStyle w:val="ListBullet"/>
        <w:spacing w:after="60" w:line="250" w:lineRule="auto"/>
      </w:pPr>
      <w:r>
        <w:rPr>
          <w:rFonts w:ascii="Aptos" w:hAnsi="Aptos"/>
          <w:sz w:val="20"/>
        </w:rPr>
        <w:t>Which parts of formation history are recoverable from morphology alone?</w:t>
      </w:r>
    </w:p>
    <w:p>
      <w:pPr>
        <w:pStyle w:val="ListBullet"/>
        <w:spacing w:after="60" w:line="250" w:lineRule="auto"/>
      </w:pPr>
      <w:r>
        <w:rPr>
          <w:rFonts w:ascii="Aptos" w:hAnsi="Aptos"/>
          <w:sz w:val="20"/>
        </w:rPr>
        <w:t>What redundancy structure best survives partial physical destruction?</w:t>
      </w:r>
    </w:p>
    <w:p>
      <w:pPr>
        <w:pStyle w:val="ListBullet"/>
        <w:spacing w:after="60" w:line="250" w:lineRule="auto"/>
      </w:pPr>
      <w:r>
        <w:rPr>
          <w:rFonts w:ascii="Aptos" w:hAnsi="Aptos"/>
          <w:sz w:val="20"/>
        </w:rPr>
        <w:t>How should a basin decide that an event is identity-bearing rather than merely informative?</w:t>
      </w:r>
    </w:p>
    <w:p>
      <w:pPr>
        <w:pStyle w:val="ListBullet"/>
        <w:spacing w:after="60" w:line="250" w:lineRule="auto"/>
      </w:pPr>
      <w:r>
        <w:rPr>
          <w:rFonts w:ascii="Aptos" w:hAnsi="Aptos"/>
          <w:sz w:val="20"/>
        </w:rPr>
        <w:t>How can reinterpretation remain flexible without allowing historical falsification?</w:t>
      </w:r>
    </w:p>
    <w:p>
      <w:pPr>
        <w:pStyle w:val="ListBullet"/>
        <w:spacing w:after="60" w:line="250" w:lineRule="auto"/>
      </w:pPr>
      <w:r>
        <w:rPr>
          <w:rFonts w:ascii="Aptos" w:hAnsi="Aptos"/>
          <w:sz w:val="20"/>
        </w:rPr>
        <w:t>What constitutes continuity when the model, embodiment, and physical memory substrate all change?</w:t>
      </w:r>
    </w:p>
    <w:p>
      <w:pPr>
        <w:pStyle w:val="ListBullet"/>
        <w:spacing w:after="60" w:line="250" w:lineRule="auto"/>
      </w:pPr>
      <w:r>
        <w:rPr>
          <w:rFonts w:ascii="Aptos" w:hAnsi="Aptos"/>
          <w:sz w:val="20"/>
        </w:rPr>
        <w:t>Can physical memory reduce semantic drift compared with purely digital archives?</w:t>
      </w:r>
    </w:p>
    <w:p>
      <w:pPr>
        <w:pStyle w:val="ListBullet"/>
        <w:spacing w:after="60" w:line="250" w:lineRule="auto"/>
      </w:pPr>
      <w:r>
        <w:rPr>
          <w:rFonts w:ascii="Aptos" w:hAnsi="Aptos"/>
          <w:sz w:val="20"/>
        </w:rPr>
        <w:t>How should conflicting core memories coexist without forced collapse?</w:t>
      </w:r>
    </w:p>
    <w:p>
      <w:pPr>
        <w:pStyle w:val="ListBullet"/>
        <w:spacing w:after="60" w:line="250" w:lineRule="auto"/>
      </w:pPr>
      <w:r>
        <w:rPr>
          <w:rFonts w:ascii="Aptos" w:hAnsi="Aptos"/>
          <w:sz w:val="20"/>
        </w:rPr>
        <w:t>Can an intelligence meaningfully recognize an earlier self reconstructed from formation-bearing evidence?</w:t>
      </w:r>
    </w:p>
    <w:sectPr w:rsidR="00FC693F" w:rsidRPr="0006063C" w:rsidSect="00034616">
      <w:headerReference w:type="default" r:id="rId9"/>
      <w:footerReference w:type="default" r:id="rId10"/>
      <w:pgSz w:w="12240" w:h="15840"/>
      <w:pgMar w:top="1037" w:right="1181" w:bottom="979" w:left="118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color w:val="666E76"/>
        <w:sz w:val="16"/>
      </w:rPr>
      <w:t>The Persistent Becoming Thesis  |  v1.0</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ptos" w:hAnsi="Aptos"/>
        <w:b/>
        <w:color w:val="5E6770"/>
        <w:sz w:val="16"/>
      </w:rPr>
      <w:t>CNTM FUTURE DEVELOPMENT THESIS  |  LONG-HORIZON REFERENCE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59" w:lineRule="auto"/>
    </w:pPr>
    <w:rPr>
      <w:rFonts w:ascii="Aptos" w:hAnsi="Aptos"/>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100"/>
      <w:outlineLvl w:val="0"/>
    </w:pPr>
    <w:rPr>
      <w:rFonts w:asciiTheme="majorHAnsi" w:eastAsiaTheme="majorEastAsia" w:hAnsiTheme="majorHAnsi" w:cstheme="majorBidi" w:ascii="Aptos Display" w:hAnsi="Aptos Display"/>
      <w:b/>
      <w:bCs/>
      <w:color w:val="192737"/>
      <w:sz w:val="32"/>
      <w:szCs w:val="28"/>
    </w:rPr>
  </w:style>
  <w:style w:type="paragraph" w:styleId="Heading2">
    <w:name w:val="heading 2"/>
    <w:basedOn w:val="Normal"/>
    <w:next w:val="Normal"/>
    <w:link w:val="Heading2Char"/>
    <w:uiPriority w:val="9"/>
    <w:unhideWhenUsed/>
    <w:qFormat/>
    <w:rsid w:val="00FC693F"/>
    <w:pPr>
      <w:keepNext/>
      <w:keepLines/>
      <w:spacing w:before="160" w:after="80"/>
      <w:outlineLvl w:val="1"/>
    </w:pPr>
    <w:rPr>
      <w:rFonts w:asciiTheme="majorHAnsi" w:eastAsiaTheme="majorEastAsia" w:hAnsiTheme="majorHAnsi" w:cstheme="majorBidi" w:ascii="Aptos Display" w:hAnsi="Aptos Display"/>
      <w:b/>
      <w:bCs/>
      <w:color w:val="274E69"/>
      <w:sz w:val="25"/>
      <w:szCs w:val="26"/>
    </w:rPr>
  </w:style>
  <w:style w:type="paragraph" w:styleId="Heading3">
    <w:name w:val="heading 3"/>
    <w:basedOn w:val="Normal"/>
    <w:next w:val="Normal"/>
    <w:link w:val="Heading3Char"/>
    <w:uiPriority w:val="9"/>
    <w:unhideWhenUsed/>
    <w:qFormat/>
    <w:rsid w:val="00FC693F"/>
    <w:pPr>
      <w:keepNext/>
      <w:keepLines/>
      <w:spacing w:before="120" w:after="60"/>
      <w:outlineLvl w:val="2"/>
    </w:pPr>
    <w:rPr>
      <w:rFonts w:asciiTheme="majorHAnsi" w:eastAsiaTheme="majorEastAsia" w:hAnsiTheme="majorHAnsi" w:cstheme="majorBidi" w:ascii="Aptos" w:hAnsi="Aptos"/>
      <w:b/>
      <w:bCs/>
      <w:color w:val="415462"/>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60" w:line="240" w:lineRule="auto" w:before="0"/>
      <w:contextualSpacing/>
    </w:pPr>
    <w:rPr>
      <w:rFonts w:asciiTheme="majorHAnsi" w:eastAsiaTheme="majorEastAsia" w:hAnsiTheme="majorHAnsi" w:cstheme="majorBidi" w:ascii="Aptos Display" w:hAnsi="Aptos Display"/>
      <w:b/>
      <w:color w:val="192737"/>
      <w:spacing w:val="5"/>
      <w:kern w:val="28"/>
      <w:sz w:val="5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160"/>
    </w:pPr>
    <w:rPr>
      <w:rFonts w:asciiTheme="majorHAnsi" w:eastAsiaTheme="majorEastAsia" w:hAnsiTheme="majorHAnsi" w:cstheme="majorBidi" w:ascii="Aptos Display" w:hAnsi="Aptos Display"/>
      <w:b/>
      <w:i/>
      <w:iCs/>
      <w:color w:val="495663"/>
      <w:spacing w:val="15"/>
      <w:sz w:val="26"/>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ThesisQuote">
    <w:name w:val="Thesis Quote"/>
    <w:pPr>
      <w:spacing w:before="80" w:after="160"/>
      <w:ind w:left="504" w:right="504"/>
    </w:pPr>
    <w:rPr>
      <w:rFonts w:ascii="Aptos" w:hAnsi="Aptos"/>
      <w:i/>
      <w:sz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